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E9F" w:rsidRPr="00E64E9F" w:rsidRDefault="00E64E9F" w:rsidP="00E64E9F">
      <w:pPr>
        <w:rPr>
          <w:lang w:val="es-ES"/>
        </w:rPr>
      </w:pPr>
      <w:r w:rsidRPr="00E64E9F">
        <w:rPr>
          <w:color w:val="FF0000"/>
          <w:lang w:val="es-ES"/>
        </w:rPr>
        <w:t xml:space="preserve">Pregunta de investigación — </w:t>
      </w:r>
      <w:r w:rsidRPr="00E64E9F">
        <w:rPr>
          <w:lang w:val="es-ES"/>
        </w:rPr>
        <w:t>agregar contexto espacio-temporal</w:t>
      </w:r>
    </w:p>
    <w:p w:rsidR="00E64E9F" w:rsidRPr="00E64E9F" w:rsidRDefault="00E64E9F" w:rsidP="00E64E9F">
      <w:pPr>
        <w:rPr>
          <w:lang w:val="es-ES"/>
        </w:rPr>
      </w:pPr>
      <w:r w:rsidRPr="00E64E9F">
        <w:rPr>
          <w:lang w:val="es-ES"/>
        </w:rPr>
        <w:t>La versión actual dice:</w:t>
      </w:r>
    </w:p>
    <w:p w:rsidR="00E64E9F" w:rsidRPr="00E64E9F" w:rsidRDefault="00E64E9F" w:rsidP="00E64E9F">
      <w:pPr>
        <w:rPr>
          <w:lang w:val="es-ES"/>
        </w:rPr>
      </w:pPr>
      <w:r w:rsidRPr="00E64E9F">
        <w:rPr>
          <w:lang w:val="es-ES"/>
        </w:rPr>
        <w:t>¿De qué manera influye el uso de simuladores virtuales en el desarrollo de la competencia científica de modelización en estudiantes de segundo año de Química de Educación Media?</w:t>
      </w:r>
    </w:p>
    <w:p w:rsidR="00E64E9F" w:rsidRPr="00E64E9F" w:rsidRDefault="00E64E9F" w:rsidP="00E64E9F">
      <w:pPr>
        <w:rPr>
          <w:lang w:val="es-ES"/>
        </w:rPr>
      </w:pPr>
    </w:p>
    <w:p w:rsidR="00E64E9F" w:rsidRPr="00E64E9F" w:rsidRDefault="00E64E9F" w:rsidP="00E64E9F">
      <w:pPr>
        <w:rPr>
          <w:lang w:val="es-ES"/>
        </w:rPr>
      </w:pPr>
      <w:r w:rsidRPr="00E64E9F">
        <w:rPr>
          <w:lang w:val="es-ES"/>
        </w:rPr>
        <w:t>Versión corregida sugerida:</w:t>
      </w:r>
    </w:p>
    <w:p w:rsidR="00E64E9F" w:rsidRPr="00E64E9F" w:rsidRDefault="00E64E9F" w:rsidP="00E64E9F">
      <w:pPr>
        <w:rPr>
          <w:lang w:val="es-ES"/>
        </w:rPr>
      </w:pPr>
      <w:r w:rsidRPr="00E64E9F">
        <w:rPr>
          <w:lang w:val="es-ES"/>
        </w:rPr>
        <w:t>¿De qué manera influye el uso de simuladores virtuales en el desarrollo de la competencia científica de modelización en estudiantes de segundo año de Química de Educación Media de un liceo del departamento de Canelones durante el año lectivo 2024?</w:t>
      </w:r>
    </w:p>
    <w:p w:rsidR="00E64E9F" w:rsidRPr="00E64E9F" w:rsidRDefault="00E64E9F" w:rsidP="00E64E9F">
      <w:pPr>
        <w:rPr>
          <w:lang w:val="es-ES"/>
        </w:rPr>
      </w:pPr>
    </w:p>
    <w:p w:rsidR="00E64E9F" w:rsidRPr="00E64E9F" w:rsidRDefault="00E64E9F" w:rsidP="00E64E9F">
      <w:pPr>
        <w:rPr>
          <w:lang w:val="es-ES"/>
        </w:rPr>
      </w:pPr>
      <w:r w:rsidRPr="00E64E9F">
        <w:rPr>
          <w:color w:val="FF0000"/>
          <w:lang w:val="es-ES"/>
        </w:rPr>
        <w:t xml:space="preserve">Objetivo general — </w:t>
      </w:r>
      <w:r w:rsidRPr="00E64E9F">
        <w:rPr>
          <w:lang w:val="es-ES"/>
        </w:rPr>
        <w:t>agregar la competencia de modelización</w:t>
      </w:r>
    </w:p>
    <w:p w:rsidR="00E64E9F" w:rsidRPr="00E64E9F" w:rsidRDefault="00E64E9F" w:rsidP="00E64E9F">
      <w:pPr>
        <w:rPr>
          <w:lang w:val="es-ES"/>
        </w:rPr>
      </w:pPr>
      <w:r w:rsidRPr="00E64E9F">
        <w:rPr>
          <w:lang w:val="es-ES"/>
        </w:rPr>
        <w:t>La versión actual dice:</w:t>
      </w:r>
    </w:p>
    <w:p w:rsidR="00E64E9F" w:rsidRPr="00E64E9F" w:rsidRDefault="00E64E9F" w:rsidP="00E64E9F">
      <w:pPr>
        <w:rPr>
          <w:lang w:val="es-ES"/>
        </w:rPr>
      </w:pPr>
      <w:r w:rsidRPr="00E64E9F">
        <w:rPr>
          <w:lang w:val="es-ES"/>
        </w:rPr>
        <w:t>Analizar comparativamente la influencia del uso de simuladores virtuales en la enseñanza de la Química en estudiantes de segundo año de bachillerato de un liceo del departamento de Canelones.</w:t>
      </w:r>
    </w:p>
    <w:p w:rsidR="00E64E9F" w:rsidRPr="00E64E9F" w:rsidRDefault="00E64E9F" w:rsidP="00E64E9F">
      <w:pPr>
        <w:rPr>
          <w:lang w:val="es-ES"/>
        </w:rPr>
      </w:pPr>
    </w:p>
    <w:p w:rsidR="00E64E9F" w:rsidRPr="00E64E9F" w:rsidRDefault="00E64E9F" w:rsidP="00E64E9F">
      <w:pPr>
        <w:rPr>
          <w:lang w:val="es-ES"/>
        </w:rPr>
      </w:pPr>
      <w:r w:rsidRPr="00E64E9F">
        <w:rPr>
          <w:lang w:val="es-ES"/>
        </w:rPr>
        <w:t>Versión corregida sugerida:</w:t>
      </w:r>
    </w:p>
    <w:p w:rsidR="00E64E9F" w:rsidRPr="00E64E9F" w:rsidRDefault="00E64E9F" w:rsidP="00E64E9F">
      <w:pPr>
        <w:rPr>
          <w:lang w:val="es-ES"/>
        </w:rPr>
      </w:pPr>
      <w:r w:rsidRPr="00E64E9F">
        <w:rPr>
          <w:lang w:val="es-ES"/>
        </w:rPr>
        <w:t>Analizar comparativamente la influencia del uso de simuladores virtuales en el desarrollo de la competencia científica de modelización en estudiantes de Química de segundo año de bachillerato de un liceo del departamento de Canelones.</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Tiempos verbales en el Capítulo II</w:t>
      </w:r>
    </w:p>
    <w:p w:rsidR="00E64E9F" w:rsidRPr="00E64E9F" w:rsidRDefault="00E64E9F" w:rsidP="00E64E9F">
      <w:pPr>
        <w:rPr>
          <w:color w:val="FF0000"/>
          <w:lang w:val="es-ES"/>
        </w:rPr>
      </w:pPr>
      <w:r w:rsidRPr="00E64E9F">
        <w:rPr>
          <w:color w:val="FF0000"/>
          <w:lang w:val="es-ES"/>
        </w:rPr>
        <w:t>INCONSISTENCIA</w:t>
      </w:r>
    </w:p>
    <w:p w:rsidR="00E64E9F" w:rsidRPr="00E64E9F" w:rsidRDefault="00E64E9F" w:rsidP="00E64E9F">
      <w:pPr>
        <w:rPr>
          <w:lang w:val="es-ES"/>
        </w:rPr>
      </w:pPr>
      <w:r w:rsidRPr="00E64E9F">
        <w:rPr>
          <w:lang w:val="es-ES"/>
        </w:rPr>
        <w:t>El marco metodológico fue escrito antes de la intervención y usa futuro en todo el capítulo. En la versión final debe estar en pasado.</w:t>
      </w:r>
    </w:p>
    <w:p w:rsidR="00E64E9F" w:rsidRPr="00E64E9F" w:rsidRDefault="00E64E9F" w:rsidP="00E64E9F">
      <w:pPr>
        <w:rPr>
          <w:lang w:val="es-ES"/>
        </w:rPr>
      </w:pPr>
    </w:p>
    <w:p w:rsidR="00E64E9F" w:rsidRPr="00E64E9F" w:rsidRDefault="00E64E9F" w:rsidP="00E64E9F">
      <w:pPr>
        <w:rPr>
          <w:lang w:val="es-ES"/>
        </w:rPr>
      </w:pPr>
      <w:r w:rsidRPr="00E64E9F">
        <w:rPr>
          <w:lang w:val="es-ES"/>
        </w:rPr>
        <w:t>Reemplazar sistemáticamente los siguientes patrones en el Capítulo II:</w:t>
      </w:r>
    </w:p>
    <w:p w:rsidR="00E64E9F" w:rsidRPr="00E64E9F" w:rsidRDefault="00E64E9F" w:rsidP="00E64E9F">
      <w:pPr>
        <w:rPr>
          <w:lang w:val="es-ES"/>
        </w:rPr>
      </w:pPr>
    </w:p>
    <w:p w:rsidR="00E64E9F" w:rsidRPr="00E64E9F" w:rsidRDefault="00E64E9F" w:rsidP="00E64E9F">
      <w:pPr>
        <w:rPr>
          <w:lang w:val="es-ES"/>
        </w:rPr>
      </w:pPr>
      <w:r w:rsidRPr="00E64E9F">
        <w:rPr>
          <w:lang w:val="es-ES"/>
        </w:rPr>
        <w:t>Texto actual (futuro)</w:t>
      </w:r>
      <w:r w:rsidRPr="00E64E9F">
        <w:rPr>
          <w:lang w:val="es-ES"/>
        </w:rPr>
        <w:tab/>
        <w:t>Texto corregido (pasado)</w:t>
      </w:r>
    </w:p>
    <w:p w:rsidR="00E64E9F" w:rsidRPr="00E64E9F" w:rsidRDefault="00E64E9F" w:rsidP="00E64E9F">
      <w:pPr>
        <w:rPr>
          <w:lang w:val="es-ES"/>
        </w:rPr>
      </w:pPr>
      <w:r w:rsidRPr="00E64E9F">
        <w:rPr>
          <w:lang w:val="es-ES"/>
        </w:rPr>
        <w:t>se seleccionarán</w:t>
      </w:r>
      <w:r w:rsidRPr="00E64E9F">
        <w:rPr>
          <w:lang w:val="es-ES"/>
        </w:rPr>
        <w:tab/>
        <w:t>se seleccionaron</w:t>
      </w:r>
    </w:p>
    <w:p w:rsidR="00E64E9F" w:rsidRPr="00E64E9F" w:rsidRDefault="00E64E9F" w:rsidP="00E64E9F">
      <w:pPr>
        <w:rPr>
          <w:lang w:val="es-ES"/>
        </w:rPr>
      </w:pPr>
      <w:r w:rsidRPr="00E64E9F">
        <w:rPr>
          <w:lang w:val="es-ES"/>
        </w:rPr>
        <w:t>se implementará</w:t>
      </w:r>
      <w:r w:rsidRPr="00E64E9F">
        <w:rPr>
          <w:lang w:val="es-ES"/>
        </w:rPr>
        <w:tab/>
        <w:t>se implementó</w:t>
      </w:r>
    </w:p>
    <w:p w:rsidR="00E64E9F" w:rsidRPr="00E64E9F" w:rsidRDefault="00E64E9F" w:rsidP="00E64E9F">
      <w:pPr>
        <w:rPr>
          <w:lang w:val="es-ES"/>
        </w:rPr>
      </w:pPr>
      <w:r w:rsidRPr="00E64E9F">
        <w:rPr>
          <w:lang w:val="es-ES"/>
        </w:rPr>
        <w:t>se aplicará</w:t>
      </w:r>
      <w:r w:rsidRPr="00E64E9F">
        <w:rPr>
          <w:lang w:val="es-ES"/>
        </w:rPr>
        <w:tab/>
        <w:t>se aplicó</w:t>
      </w:r>
    </w:p>
    <w:p w:rsidR="00E64E9F" w:rsidRPr="00E64E9F" w:rsidRDefault="00E64E9F" w:rsidP="00E64E9F">
      <w:pPr>
        <w:rPr>
          <w:lang w:val="es-ES"/>
        </w:rPr>
      </w:pPr>
      <w:r w:rsidRPr="00E64E9F">
        <w:rPr>
          <w:lang w:val="es-ES"/>
        </w:rPr>
        <w:t>se trabajará</w:t>
      </w:r>
      <w:r w:rsidRPr="00E64E9F">
        <w:rPr>
          <w:lang w:val="es-ES"/>
        </w:rPr>
        <w:tab/>
        <w:t>se trabajó</w:t>
      </w:r>
    </w:p>
    <w:p w:rsidR="00E64E9F" w:rsidRPr="00E64E9F" w:rsidRDefault="00E64E9F" w:rsidP="00E64E9F">
      <w:pPr>
        <w:rPr>
          <w:lang w:val="es-ES"/>
        </w:rPr>
      </w:pPr>
      <w:r w:rsidRPr="00E64E9F">
        <w:rPr>
          <w:lang w:val="es-ES"/>
        </w:rPr>
        <w:t>se realizará</w:t>
      </w:r>
      <w:r w:rsidRPr="00E64E9F">
        <w:rPr>
          <w:lang w:val="es-ES"/>
        </w:rPr>
        <w:tab/>
        <w:t>se realizó</w:t>
      </w:r>
    </w:p>
    <w:p w:rsidR="00E64E9F" w:rsidRPr="00E64E9F" w:rsidRDefault="00E64E9F" w:rsidP="00E64E9F">
      <w:pPr>
        <w:rPr>
          <w:lang w:val="es-ES"/>
        </w:rPr>
      </w:pPr>
      <w:r w:rsidRPr="00E64E9F">
        <w:rPr>
          <w:lang w:val="es-ES"/>
        </w:rPr>
        <w:t>contará con</w:t>
      </w:r>
      <w:r w:rsidRPr="00E64E9F">
        <w:rPr>
          <w:lang w:val="es-ES"/>
        </w:rPr>
        <w:tab/>
        <w:t>contó con</w:t>
      </w:r>
    </w:p>
    <w:p w:rsidR="00E64E9F" w:rsidRPr="00E64E9F" w:rsidRDefault="00E64E9F" w:rsidP="00E64E9F">
      <w:pPr>
        <w:rPr>
          <w:lang w:val="es-ES"/>
        </w:rPr>
      </w:pPr>
      <w:r w:rsidRPr="00E64E9F">
        <w:rPr>
          <w:lang w:val="es-ES"/>
        </w:rPr>
        <w:t>permitirá</w:t>
      </w:r>
      <w:r w:rsidRPr="00E64E9F">
        <w:rPr>
          <w:lang w:val="es-ES"/>
        </w:rPr>
        <w:tab/>
        <w:t>permitió</w:t>
      </w:r>
    </w:p>
    <w:p w:rsidR="00E64E9F" w:rsidRDefault="00E64E9F" w:rsidP="00E64E9F">
      <w:pPr>
        <w:rPr>
          <w:lang w:val="es-ES"/>
        </w:rPr>
      </w:pPr>
      <w:r w:rsidRPr="00E64E9F">
        <w:rPr>
          <w:lang w:val="es-ES"/>
        </w:rPr>
        <w:t>evaluará</w:t>
      </w:r>
      <w:r>
        <w:rPr>
          <w:lang w:val="es-ES"/>
        </w:rPr>
        <w:t xml:space="preserve">   </w:t>
      </w:r>
      <w:r w:rsidRPr="00E64E9F">
        <w:rPr>
          <w:lang w:val="es-ES"/>
        </w:rPr>
        <w:tab/>
        <w:t>evaluó</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Eliminar URL del Ministerio de Educación del Perú</w:t>
      </w:r>
    </w:p>
    <w:p w:rsidR="00E64E9F" w:rsidRPr="00E64E9F" w:rsidRDefault="00E64E9F" w:rsidP="00E64E9F">
      <w:pPr>
        <w:rPr>
          <w:color w:val="FF0000"/>
          <w:lang w:val="es-ES"/>
        </w:rPr>
      </w:pPr>
      <w:r w:rsidRPr="00E64E9F">
        <w:rPr>
          <w:color w:val="FF0000"/>
          <w:lang w:val="es-ES"/>
        </w:rPr>
        <w:t>ERROR FACTUAL — ELIMINAR</w:t>
      </w:r>
    </w:p>
    <w:p w:rsidR="00E64E9F" w:rsidRPr="00E64E9F" w:rsidRDefault="00E64E9F" w:rsidP="00E64E9F">
      <w:pPr>
        <w:rPr>
          <w:lang w:val="es-ES"/>
        </w:rPr>
      </w:pPr>
      <w:r w:rsidRPr="00E64E9F">
        <w:rPr>
          <w:lang w:val="es-ES"/>
        </w:rPr>
        <w:t>La referencia apunta a minedu.gob.pe (Perú), no a Uruguay. La investigación es en Uruguay y ya incluye correctamente la referencia de ANEP.</w:t>
      </w:r>
    </w:p>
    <w:p w:rsidR="00E64E9F" w:rsidRPr="00E64E9F" w:rsidRDefault="00E64E9F" w:rsidP="00E64E9F">
      <w:pPr>
        <w:rPr>
          <w:lang w:val="es-ES"/>
        </w:rPr>
      </w:pPr>
    </w:p>
    <w:p w:rsidR="00E64E9F" w:rsidRPr="00E64E9F" w:rsidRDefault="00E64E9F" w:rsidP="00E64E9F">
      <w:pPr>
        <w:rPr>
          <w:lang w:val="es-ES"/>
        </w:rPr>
      </w:pPr>
      <w:r w:rsidRPr="00E64E9F">
        <w:rPr>
          <w:lang w:val="es-ES"/>
        </w:rPr>
        <w:t>Eliminar completamente esta entrada de la bibliografía:</w:t>
      </w:r>
    </w:p>
    <w:p w:rsidR="00E64E9F" w:rsidRPr="00E64E9F" w:rsidRDefault="00E64E9F" w:rsidP="00E64E9F">
      <w:pPr>
        <w:rPr>
          <w:lang w:val="es-ES"/>
        </w:rPr>
      </w:pPr>
      <w:r w:rsidRPr="00E64E9F">
        <w:rPr>
          <w:lang w:val="es-ES"/>
        </w:rPr>
        <w:t>Ministerio de Educación. (2022). Marco curricular nacional. https://www.minedu.gob.pe/marco-curricular-nacional</w:t>
      </w:r>
    </w:p>
    <w:p w:rsidR="00E64E9F" w:rsidRPr="00E64E9F" w:rsidRDefault="00E64E9F" w:rsidP="00E64E9F">
      <w:pPr>
        <w:rPr>
          <w:lang w:val="es-ES"/>
        </w:rPr>
      </w:pPr>
    </w:p>
    <w:p w:rsidR="00E64E9F" w:rsidRDefault="00E64E9F" w:rsidP="00E64E9F">
      <w:pPr>
        <w:rPr>
          <w:lang w:val="es-ES"/>
        </w:rPr>
      </w:pPr>
      <w:r w:rsidRPr="00E64E9F">
        <w:rPr>
          <w:lang w:val="es-ES"/>
        </w:rPr>
        <w:t>La referencia correcta de Uruguay ya figura como: ANEP (2023). Marco Curricular Nacional. No se requiere agregar nada.</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Separar entradas duplicadas de Cabero-Almenara &amp; Llorente-Cejudo (2015)</w:t>
      </w:r>
    </w:p>
    <w:p w:rsidR="00E64E9F" w:rsidRPr="00E64E9F" w:rsidRDefault="00E64E9F" w:rsidP="00E64E9F">
      <w:pPr>
        <w:rPr>
          <w:color w:val="FF0000"/>
          <w:lang w:val="es-ES"/>
        </w:rPr>
      </w:pPr>
      <w:r w:rsidRPr="00E64E9F">
        <w:rPr>
          <w:color w:val="FF0000"/>
          <w:lang w:val="es-ES"/>
        </w:rPr>
        <w:t>DUPLICADO — DIFERENCIAR</w:t>
      </w:r>
    </w:p>
    <w:p w:rsidR="00E64E9F" w:rsidRPr="00E64E9F" w:rsidRDefault="00E64E9F" w:rsidP="00E64E9F">
      <w:pPr>
        <w:rPr>
          <w:lang w:val="es-ES"/>
        </w:rPr>
      </w:pPr>
      <w:r w:rsidRPr="00E64E9F">
        <w:rPr>
          <w:lang w:val="es-ES"/>
        </w:rPr>
        <w:t>Aparecen dos artículos distintos del mismo autor y año sin diferenciarse. Esto genera ambigüedad en las citas del texto.</w:t>
      </w:r>
    </w:p>
    <w:p w:rsidR="00E64E9F" w:rsidRPr="00E64E9F" w:rsidRDefault="00E64E9F" w:rsidP="00E64E9F">
      <w:pPr>
        <w:rPr>
          <w:lang w:val="es-ES"/>
        </w:rPr>
      </w:pPr>
    </w:p>
    <w:p w:rsidR="00E64E9F" w:rsidRPr="00E64E9F" w:rsidRDefault="00E64E9F" w:rsidP="00E64E9F">
      <w:pPr>
        <w:rPr>
          <w:lang w:val="es-ES"/>
        </w:rPr>
      </w:pPr>
      <w:r w:rsidRPr="00E64E9F">
        <w:rPr>
          <w:lang w:val="es-ES"/>
        </w:rPr>
        <w:t>Cambiar las entradas como sigue:</w:t>
      </w:r>
    </w:p>
    <w:p w:rsidR="00E64E9F" w:rsidRPr="00E64E9F" w:rsidRDefault="00E64E9F" w:rsidP="00E64E9F">
      <w:pPr>
        <w:rPr>
          <w:lang w:val="es-ES"/>
        </w:rPr>
      </w:pPr>
      <w:r w:rsidRPr="00E64E9F">
        <w:rPr>
          <w:lang w:val="es-ES"/>
        </w:rPr>
        <w:lastRenderedPageBreak/>
        <w:t>•</w:t>
      </w:r>
      <w:r w:rsidRPr="00E64E9F">
        <w:rPr>
          <w:lang w:val="es-ES"/>
        </w:rPr>
        <w:tab/>
        <w:t>Cabero-Almenara, J., &amp; Llorente-Cejudo, M. C. (2015a). La integración de las TIC en los centros educativos: Modelos, problemas y propuestas. Pixel-Bit. Revista de Medios y Educación, (46), 25–39. https://doi.org/10.12795/pixelbit.2015.i46.02</w:t>
      </w:r>
    </w:p>
    <w:p w:rsidR="00E64E9F" w:rsidRPr="00E64E9F" w:rsidRDefault="00E64E9F" w:rsidP="00E64E9F">
      <w:pPr>
        <w:rPr>
          <w:lang w:val="es-ES"/>
        </w:rPr>
      </w:pPr>
      <w:r w:rsidRPr="00E64E9F">
        <w:rPr>
          <w:lang w:val="es-ES"/>
        </w:rPr>
        <w:t>•</w:t>
      </w:r>
      <w:r w:rsidRPr="00E64E9F">
        <w:rPr>
          <w:lang w:val="es-ES"/>
        </w:rPr>
        <w:tab/>
        <w:t>Cabero-Almenara, J., &amp; Llorente-Cejudo, M. C. (2015b). Tecnologías de la Información y la Comunicación (TIC): Escenarios operativos de formación. Revista Lasallista de Investigación, 12(2), 118–131. https://doi.org/10.4995/redu.2015.5419</w:t>
      </w:r>
    </w:p>
    <w:p w:rsidR="00E64E9F" w:rsidRPr="00E64E9F" w:rsidRDefault="00E64E9F" w:rsidP="00E64E9F">
      <w:pPr>
        <w:rPr>
          <w:lang w:val="es-ES"/>
        </w:rPr>
      </w:pPr>
    </w:p>
    <w:p w:rsidR="00E64E9F" w:rsidRDefault="00E64E9F" w:rsidP="00E64E9F">
      <w:pPr>
        <w:rPr>
          <w:lang w:val="es-ES"/>
        </w:rPr>
      </w:pPr>
      <w:r w:rsidRPr="00E64E9F">
        <w:rPr>
          <w:lang w:val="es-ES"/>
        </w:rPr>
        <w:t>Actualizar también la cita en el texto: donde dice (Cabero-Almenara &amp; Llorente-Cejudo, 2015) indicar si es (2015a) o (2015b) según cuál corresponda.</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Separar entradas duplicadas de Caamaño (2011)</w:t>
      </w:r>
    </w:p>
    <w:p w:rsidR="00E64E9F" w:rsidRPr="00E64E9F" w:rsidRDefault="00E64E9F" w:rsidP="00E64E9F">
      <w:pPr>
        <w:rPr>
          <w:color w:val="FF0000"/>
          <w:lang w:val="es-ES"/>
        </w:rPr>
      </w:pPr>
      <w:r w:rsidRPr="00E64E9F">
        <w:rPr>
          <w:color w:val="FF0000"/>
          <w:lang w:val="es-ES"/>
        </w:rPr>
        <w:t>DUPLICADO — DIFERENCIAR</w:t>
      </w:r>
    </w:p>
    <w:p w:rsidR="00E64E9F" w:rsidRPr="00E64E9F" w:rsidRDefault="00E64E9F" w:rsidP="00E64E9F">
      <w:pPr>
        <w:rPr>
          <w:lang w:val="es-ES"/>
        </w:rPr>
      </w:pPr>
      <w:r w:rsidRPr="00E64E9F">
        <w:rPr>
          <w:lang w:val="es-ES"/>
        </w:rPr>
        <w:t>Dos obras distintas del mismo autor y año sin diferenciarse.</w:t>
      </w:r>
    </w:p>
    <w:p w:rsidR="00E64E9F" w:rsidRPr="00E64E9F" w:rsidRDefault="00E64E9F" w:rsidP="00E64E9F">
      <w:pPr>
        <w:rPr>
          <w:lang w:val="es-ES"/>
        </w:rPr>
      </w:pPr>
    </w:p>
    <w:p w:rsidR="00E64E9F" w:rsidRPr="00E64E9F" w:rsidRDefault="00E64E9F" w:rsidP="00E64E9F">
      <w:pPr>
        <w:rPr>
          <w:lang w:val="es-ES"/>
        </w:rPr>
      </w:pPr>
      <w:r w:rsidRPr="00E64E9F">
        <w:rPr>
          <w:lang w:val="es-ES"/>
        </w:rPr>
        <w:t>•</w:t>
      </w:r>
      <w:r w:rsidRPr="00E64E9F">
        <w:rPr>
          <w:lang w:val="es-ES"/>
        </w:rPr>
        <w:tab/>
        <w:t>Caamaño, A. (2011a). Física y Química investigación, innovación y buenas prácticas (primera edición). Editorial GRAÓ.</w:t>
      </w:r>
    </w:p>
    <w:p w:rsidR="00E64E9F" w:rsidRPr="00E64E9F" w:rsidRDefault="00E64E9F" w:rsidP="00E64E9F">
      <w:pPr>
        <w:rPr>
          <w:lang w:val="es-ES"/>
        </w:rPr>
      </w:pPr>
      <w:r w:rsidRPr="00E64E9F">
        <w:rPr>
          <w:lang w:val="es-ES"/>
        </w:rPr>
        <w:t>•</w:t>
      </w:r>
      <w:r w:rsidRPr="00E64E9F">
        <w:rPr>
          <w:lang w:val="es-ES"/>
        </w:rPr>
        <w:tab/>
        <w:t>Caamaño, A. (2011b). Enseñar química mediante la contextualización, la indagación y la modelización. Alambique: Didáctica de las Ciencias Experimentales, (69), 21–34.</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 xml:space="preserve">Separar Cohen (1988) de </w:t>
      </w:r>
      <w:proofErr w:type="spellStart"/>
      <w:r w:rsidRPr="00E64E9F">
        <w:rPr>
          <w:color w:val="FF0000"/>
          <w:lang w:val="es-ES"/>
        </w:rPr>
        <w:t>De</w:t>
      </w:r>
      <w:proofErr w:type="spellEnd"/>
      <w:r w:rsidRPr="00E64E9F">
        <w:rPr>
          <w:color w:val="FF0000"/>
          <w:lang w:val="es-ES"/>
        </w:rPr>
        <w:t xml:space="preserve"> Berríos &amp; Briceño (2009)</w:t>
      </w:r>
    </w:p>
    <w:p w:rsidR="00E64E9F" w:rsidRPr="00E64E9F" w:rsidRDefault="00E64E9F" w:rsidP="00E64E9F">
      <w:pPr>
        <w:rPr>
          <w:color w:val="FF0000"/>
          <w:lang w:val="es-ES"/>
        </w:rPr>
      </w:pPr>
      <w:r w:rsidRPr="00E64E9F">
        <w:rPr>
          <w:color w:val="FF0000"/>
          <w:lang w:val="es-ES"/>
        </w:rPr>
        <w:t>ERROR DE FORMATO</w:t>
      </w:r>
    </w:p>
    <w:p w:rsidR="00E64E9F" w:rsidRPr="00E64E9F" w:rsidRDefault="00E64E9F" w:rsidP="00E64E9F">
      <w:pPr>
        <w:rPr>
          <w:lang w:val="es-ES"/>
        </w:rPr>
      </w:pPr>
      <w:r w:rsidRPr="00E64E9F">
        <w:rPr>
          <w:lang w:val="es-ES"/>
        </w:rPr>
        <w:t>Las dos referencias aparecen fusionadas en el mismo párrafo. Es un error tipográfico que hace que parezca una sola entrada.</w:t>
      </w:r>
    </w:p>
    <w:p w:rsidR="00E64E9F" w:rsidRPr="00E64E9F" w:rsidRDefault="00E64E9F" w:rsidP="00E64E9F">
      <w:pPr>
        <w:rPr>
          <w:lang w:val="es-ES"/>
        </w:rPr>
      </w:pPr>
      <w:r w:rsidRPr="00E64E9F">
        <w:rPr>
          <w:lang w:val="es-ES"/>
        </w:rPr>
        <w:t>Insertar un salto de párrafo entre ambas entradas para que queden separadas:</w:t>
      </w:r>
    </w:p>
    <w:p w:rsidR="00E64E9F" w:rsidRPr="00E64E9F" w:rsidRDefault="00E64E9F" w:rsidP="00E64E9F">
      <w:pPr>
        <w:rPr>
          <w:lang w:val="es-ES"/>
        </w:rPr>
      </w:pPr>
      <w:r>
        <w:t>•</w:t>
      </w:r>
      <w:r>
        <w:tab/>
        <w:t xml:space="preserve">Cohen, J. (1988). Statistical power analysis for the behavioral sciences (2nd ed.). </w:t>
      </w:r>
      <w:r w:rsidRPr="00E64E9F">
        <w:rPr>
          <w:lang w:val="es-ES"/>
        </w:rPr>
        <w:t xml:space="preserve">Lawrence </w:t>
      </w:r>
      <w:proofErr w:type="spellStart"/>
      <w:r w:rsidRPr="00E64E9F">
        <w:rPr>
          <w:lang w:val="es-ES"/>
        </w:rPr>
        <w:t>Erlbaum</w:t>
      </w:r>
      <w:proofErr w:type="spellEnd"/>
      <w:r w:rsidRPr="00E64E9F">
        <w:rPr>
          <w:lang w:val="es-ES"/>
        </w:rPr>
        <w:t>.</w:t>
      </w:r>
    </w:p>
    <w:p w:rsidR="00E64E9F" w:rsidRDefault="00E64E9F" w:rsidP="00E64E9F">
      <w:pPr>
        <w:rPr>
          <w:lang w:val="es-ES"/>
        </w:rPr>
      </w:pPr>
      <w:r w:rsidRPr="00E64E9F">
        <w:rPr>
          <w:lang w:val="es-ES"/>
        </w:rPr>
        <w:t>•</w:t>
      </w:r>
      <w:r w:rsidRPr="00E64E9F">
        <w:rPr>
          <w:lang w:val="es-ES"/>
        </w:rPr>
        <w:tab/>
        <w:t>De Berríos, O. y Briceño de Gómez, M. (2009). Enfoques epistemológicos que orientan la investigación de 4to. nivel. Visión Gerencial, 47–54.</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Reemplazar referencia de video de YouTube (Moraleda, 2016)</w:t>
      </w:r>
    </w:p>
    <w:p w:rsidR="00E64E9F" w:rsidRPr="00E64E9F" w:rsidRDefault="00E64E9F" w:rsidP="00E64E9F">
      <w:pPr>
        <w:rPr>
          <w:lang w:val="es-ES"/>
        </w:rPr>
      </w:pPr>
      <w:r w:rsidRPr="00E64E9F">
        <w:rPr>
          <w:color w:val="FF0000"/>
          <w:lang w:val="es-ES"/>
        </w:rPr>
        <w:t>FUENTE INADECUADA — REEMPLAZAR</w:t>
      </w:r>
    </w:p>
    <w:p w:rsidR="00E64E9F" w:rsidRPr="00E64E9F" w:rsidRDefault="00E64E9F" w:rsidP="00E64E9F">
      <w:pPr>
        <w:rPr>
          <w:lang w:val="es-ES"/>
        </w:rPr>
      </w:pPr>
      <w:r w:rsidRPr="00E64E9F">
        <w:rPr>
          <w:lang w:val="es-ES"/>
        </w:rPr>
        <w:t xml:space="preserve">Un video de YouTube de Bureau Veritas Formación es la referencia usada para justificar el diseño </w:t>
      </w:r>
      <w:proofErr w:type="spellStart"/>
      <w:r w:rsidRPr="00E64E9F">
        <w:rPr>
          <w:lang w:val="es-ES"/>
        </w:rPr>
        <w:t>cuasiexperimental</w:t>
      </w:r>
      <w:proofErr w:type="spellEnd"/>
      <w:r w:rsidRPr="00E64E9F">
        <w:rPr>
          <w:lang w:val="es-ES"/>
        </w:rPr>
        <w:t>. No es una fuente académica válida para una tesis de maestría.</w:t>
      </w:r>
    </w:p>
    <w:p w:rsidR="00E64E9F" w:rsidRPr="00E64E9F" w:rsidRDefault="00E64E9F" w:rsidP="00E64E9F">
      <w:pPr>
        <w:rPr>
          <w:lang w:val="es-ES"/>
        </w:rPr>
      </w:pPr>
    </w:p>
    <w:p w:rsidR="00E64E9F" w:rsidRPr="00E64E9F" w:rsidRDefault="00E64E9F" w:rsidP="00E64E9F">
      <w:pPr>
        <w:rPr>
          <w:lang w:val="es-ES"/>
        </w:rPr>
      </w:pPr>
      <w:r w:rsidRPr="00E64E9F">
        <w:rPr>
          <w:lang w:val="es-ES"/>
        </w:rPr>
        <w:t>Eliminar la entrada de Moraleda (2016) y reemplazar por:</w:t>
      </w:r>
    </w:p>
    <w:p w:rsidR="00E64E9F" w:rsidRPr="00E64E9F" w:rsidRDefault="00E64E9F" w:rsidP="00E64E9F">
      <w:pPr>
        <w:rPr>
          <w:lang w:val="es-ES"/>
        </w:rPr>
      </w:pPr>
      <w:proofErr w:type="spellStart"/>
      <w:r>
        <w:t>Shadish</w:t>
      </w:r>
      <w:proofErr w:type="spellEnd"/>
      <w:r>
        <w:t xml:space="preserve">, W. R., Cook, T. D., &amp; Campbell, D. T. (2002). Experimental and quasi-experimental designs for generalized causal inference. </w:t>
      </w:r>
      <w:r w:rsidRPr="00E64E9F">
        <w:rPr>
          <w:lang w:val="es-ES"/>
        </w:rPr>
        <w:t xml:space="preserve">Houghton </w:t>
      </w:r>
      <w:proofErr w:type="spellStart"/>
      <w:r w:rsidRPr="00E64E9F">
        <w:rPr>
          <w:lang w:val="es-ES"/>
        </w:rPr>
        <w:t>Mifflin</w:t>
      </w:r>
      <w:proofErr w:type="spellEnd"/>
      <w:r w:rsidRPr="00E64E9F">
        <w:rPr>
          <w:lang w:val="es-ES"/>
        </w:rPr>
        <w:t>.</w:t>
      </w:r>
    </w:p>
    <w:p w:rsidR="00E64E9F" w:rsidRPr="00E64E9F" w:rsidRDefault="00E64E9F" w:rsidP="00E64E9F">
      <w:pPr>
        <w:rPr>
          <w:lang w:val="es-ES"/>
        </w:rPr>
      </w:pPr>
    </w:p>
    <w:p w:rsidR="00E64E9F" w:rsidRDefault="00E64E9F" w:rsidP="00E64E9F">
      <w:pPr>
        <w:rPr>
          <w:lang w:val="es-ES"/>
        </w:rPr>
      </w:pPr>
      <w:r w:rsidRPr="00E64E9F">
        <w:rPr>
          <w:lang w:val="es-ES"/>
        </w:rPr>
        <w:t>En el texto donde se cita a Moraleda, usar esta cita en su lugar: (</w:t>
      </w:r>
      <w:proofErr w:type="spellStart"/>
      <w:r w:rsidRPr="00E64E9F">
        <w:rPr>
          <w:lang w:val="es-ES"/>
        </w:rPr>
        <w:t>Shadish</w:t>
      </w:r>
      <w:proofErr w:type="spellEnd"/>
      <w:r w:rsidRPr="00E64E9F">
        <w:rPr>
          <w:lang w:val="es-ES"/>
        </w:rPr>
        <w:t xml:space="preserve"> et al., 2002).</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Separar entradas duplicadas de Laborde (2016)</w:t>
      </w:r>
    </w:p>
    <w:p w:rsidR="00E64E9F" w:rsidRPr="00E64E9F" w:rsidRDefault="00E64E9F" w:rsidP="00E64E9F">
      <w:pPr>
        <w:rPr>
          <w:color w:val="FF0000"/>
          <w:lang w:val="es-ES"/>
        </w:rPr>
      </w:pPr>
      <w:r w:rsidRPr="00E64E9F">
        <w:rPr>
          <w:color w:val="FF0000"/>
          <w:lang w:val="es-ES"/>
        </w:rPr>
        <w:t>DUPLICADO — VERIFICAR</w:t>
      </w:r>
    </w:p>
    <w:p w:rsidR="00E64E9F" w:rsidRPr="00E64E9F" w:rsidRDefault="00E64E9F" w:rsidP="00E64E9F">
      <w:pPr>
        <w:rPr>
          <w:lang w:val="es-ES"/>
        </w:rPr>
      </w:pPr>
      <w:r w:rsidRPr="00E64E9F">
        <w:rPr>
          <w:lang w:val="es-ES"/>
        </w:rPr>
        <w:t>Dos entradas para el mismo autor y año con títulos similares. Deben diferenciarse o unificarse.</w:t>
      </w:r>
    </w:p>
    <w:p w:rsidR="00E64E9F" w:rsidRDefault="00E64E9F" w:rsidP="00E64E9F">
      <w:pPr>
        <w:rPr>
          <w:lang w:val="es-ES"/>
        </w:rPr>
      </w:pPr>
      <w:r w:rsidRPr="00E64E9F">
        <w:rPr>
          <w:lang w:val="es-ES"/>
        </w:rPr>
        <w:t>Si son obras distintas: nombrarlas (2016a) y (2016b). Si es la misma obra con distinta URL: conservar solo la de acceso más abierto y eliminar la del portal interno de Uruguay Educa.</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 xml:space="preserve">Reemplazar links de Google </w:t>
      </w:r>
      <w:proofErr w:type="spellStart"/>
      <w:r w:rsidRPr="00E64E9F">
        <w:rPr>
          <w:color w:val="FF0000"/>
          <w:lang w:val="es-ES"/>
        </w:rPr>
        <w:t>Search</w:t>
      </w:r>
      <w:proofErr w:type="spellEnd"/>
      <w:r w:rsidRPr="00E64E9F">
        <w:rPr>
          <w:color w:val="FF0000"/>
          <w:lang w:val="es-ES"/>
        </w:rPr>
        <w:t xml:space="preserve"> por </w:t>
      </w:r>
      <w:proofErr w:type="spellStart"/>
      <w:r w:rsidRPr="00E64E9F">
        <w:rPr>
          <w:color w:val="FF0000"/>
          <w:lang w:val="es-ES"/>
        </w:rPr>
        <w:t>URLs</w:t>
      </w:r>
      <w:proofErr w:type="spellEnd"/>
      <w:r w:rsidRPr="00E64E9F">
        <w:rPr>
          <w:color w:val="FF0000"/>
          <w:lang w:val="es-ES"/>
        </w:rPr>
        <w:t xml:space="preserve"> directas</w:t>
      </w:r>
    </w:p>
    <w:p w:rsidR="00E64E9F" w:rsidRPr="00E64E9F" w:rsidRDefault="00E64E9F" w:rsidP="00E64E9F">
      <w:pPr>
        <w:rPr>
          <w:color w:val="FF0000"/>
          <w:lang w:val="es-ES"/>
        </w:rPr>
      </w:pPr>
      <w:r w:rsidRPr="00E64E9F">
        <w:rPr>
          <w:color w:val="FF0000"/>
          <w:lang w:val="es-ES"/>
        </w:rPr>
        <w:t>LINKS INCORRECTOS</w:t>
      </w:r>
    </w:p>
    <w:p w:rsidR="00E64E9F" w:rsidRPr="00E64E9F" w:rsidRDefault="00E64E9F" w:rsidP="00E64E9F">
      <w:pPr>
        <w:rPr>
          <w:lang w:val="es-ES"/>
        </w:rPr>
      </w:pPr>
      <w:r w:rsidRPr="00E64E9F">
        <w:rPr>
          <w:lang w:val="es-ES"/>
        </w:rPr>
        <w:t>Varias referencias tienen links del tipo google.com/</w:t>
      </w:r>
      <w:proofErr w:type="spellStart"/>
      <w:proofErr w:type="gramStart"/>
      <w:r w:rsidRPr="00E64E9F">
        <w:rPr>
          <w:lang w:val="es-ES"/>
        </w:rPr>
        <w:t>search?q</w:t>
      </w:r>
      <w:proofErr w:type="spellEnd"/>
      <w:proofErr w:type="gramEnd"/>
      <w:r w:rsidRPr="00E64E9F">
        <w:rPr>
          <w:lang w:val="es-ES"/>
        </w:rPr>
        <w:t>=... que no apuntan al artículo sino a una búsqueda.</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Afecta a: Díaz-Barriga (2006), </w:t>
      </w:r>
      <w:proofErr w:type="spellStart"/>
      <w:r w:rsidRPr="00E64E9F">
        <w:rPr>
          <w:lang w:val="es-ES"/>
        </w:rPr>
        <w:t>Braslavsky</w:t>
      </w:r>
      <w:proofErr w:type="spellEnd"/>
      <w:r w:rsidRPr="00E64E9F">
        <w:rPr>
          <w:lang w:val="es-ES"/>
        </w:rPr>
        <w:t xml:space="preserve"> (2001) y Peña (2022), entre otros. Para cada uno:</w:t>
      </w:r>
    </w:p>
    <w:p w:rsidR="00E64E9F" w:rsidRPr="00E64E9F" w:rsidRDefault="00E64E9F" w:rsidP="00E64E9F">
      <w:pPr>
        <w:rPr>
          <w:lang w:val="es-ES"/>
        </w:rPr>
      </w:pPr>
      <w:r w:rsidRPr="00E64E9F">
        <w:rPr>
          <w:lang w:val="es-ES"/>
        </w:rPr>
        <w:t>1.</w:t>
      </w:r>
      <w:r w:rsidRPr="00E64E9F">
        <w:rPr>
          <w:lang w:val="es-ES"/>
        </w:rPr>
        <w:tab/>
        <w:t xml:space="preserve">Ir a Google </w:t>
      </w:r>
      <w:proofErr w:type="spellStart"/>
      <w:r w:rsidRPr="00E64E9F">
        <w:rPr>
          <w:lang w:val="es-ES"/>
        </w:rPr>
        <w:t>Scholar</w:t>
      </w:r>
      <w:proofErr w:type="spellEnd"/>
      <w:r w:rsidRPr="00E64E9F">
        <w:rPr>
          <w:lang w:val="es-ES"/>
        </w:rPr>
        <w:t xml:space="preserve"> (scholar.google.com)</w:t>
      </w:r>
    </w:p>
    <w:p w:rsidR="00E64E9F" w:rsidRPr="00E64E9F" w:rsidRDefault="00E64E9F" w:rsidP="00E64E9F">
      <w:pPr>
        <w:rPr>
          <w:lang w:val="es-ES"/>
        </w:rPr>
      </w:pPr>
      <w:r w:rsidRPr="00E64E9F">
        <w:rPr>
          <w:lang w:val="es-ES"/>
        </w:rPr>
        <w:t>2.</w:t>
      </w:r>
      <w:r w:rsidRPr="00E64E9F">
        <w:rPr>
          <w:lang w:val="es-ES"/>
        </w:rPr>
        <w:tab/>
        <w:t>Buscar el artículo por título y autor</w:t>
      </w:r>
    </w:p>
    <w:p w:rsidR="00E64E9F" w:rsidRPr="00E64E9F" w:rsidRDefault="00E64E9F" w:rsidP="00E64E9F">
      <w:pPr>
        <w:rPr>
          <w:lang w:val="es-ES"/>
        </w:rPr>
      </w:pPr>
      <w:r w:rsidRPr="00E64E9F">
        <w:rPr>
          <w:lang w:val="es-ES"/>
        </w:rPr>
        <w:t>3.</w:t>
      </w:r>
      <w:r w:rsidRPr="00E64E9F">
        <w:rPr>
          <w:lang w:val="es-ES"/>
        </w:rPr>
        <w:tab/>
        <w:t>Copiar el DOI o la URL directa del artículo</w:t>
      </w:r>
    </w:p>
    <w:p w:rsidR="00E64E9F" w:rsidRPr="00E64E9F" w:rsidRDefault="00E64E9F" w:rsidP="00E64E9F">
      <w:pPr>
        <w:rPr>
          <w:lang w:val="es-ES"/>
        </w:rPr>
      </w:pPr>
      <w:r w:rsidRPr="00E64E9F">
        <w:rPr>
          <w:lang w:val="es-ES"/>
        </w:rPr>
        <w:lastRenderedPageBreak/>
        <w:t>4.</w:t>
      </w:r>
      <w:r w:rsidRPr="00E64E9F">
        <w:rPr>
          <w:lang w:val="es-ES"/>
        </w:rPr>
        <w:tab/>
        <w:t>Reemplazar el link en la referencia</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Correcciones metodológicas y de enfoque</w:t>
      </w:r>
    </w:p>
    <w:p w:rsidR="00E64E9F" w:rsidRPr="00E64E9F" w:rsidRDefault="00E64E9F" w:rsidP="00E64E9F">
      <w:pPr>
        <w:rPr>
          <w:color w:val="FF0000"/>
          <w:lang w:val="es-ES"/>
        </w:rPr>
      </w:pPr>
      <w:r w:rsidRPr="00E64E9F">
        <w:rPr>
          <w:color w:val="FF0000"/>
          <w:lang w:val="es-ES"/>
        </w:rPr>
        <w:t>Verificar equivalencia inicial de grupos — PRIORITARIO</w:t>
      </w:r>
    </w:p>
    <w:p w:rsidR="00E64E9F" w:rsidRPr="00E64E9F" w:rsidRDefault="00E64E9F" w:rsidP="00E64E9F">
      <w:pPr>
        <w:rPr>
          <w:color w:val="FF0000"/>
          <w:lang w:val="es-ES"/>
        </w:rPr>
      </w:pPr>
      <w:r w:rsidRPr="00E64E9F">
        <w:rPr>
          <w:color w:val="FF0000"/>
          <w:lang w:val="es-ES"/>
        </w:rPr>
        <w:t>OMISIÓN CRÍTICA</w:t>
      </w:r>
    </w:p>
    <w:p w:rsidR="00E64E9F" w:rsidRPr="00E64E9F" w:rsidRDefault="00E64E9F" w:rsidP="00E64E9F">
      <w:pPr>
        <w:rPr>
          <w:lang w:val="es-ES"/>
        </w:rPr>
      </w:pPr>
      <w:r w:rsidRPr="00E64E9F">
        <w:rPr>
          <w:lang w:val="es-ES"/>
        </w:rPr>
        <w:t xml:space="preserve">El diseño </w:t>
      </w:r>
      <w:proofErr w:type="spellStart"/>
      <w:r w:rsidRPr="00E64E9F">
        <w:rPr>
          <w:lang w:val="es-ES"/>
        </w:rPr>
        <w:t>cuasiexperimental</w:t>
      </w:r>
      <w:proofErr w:type="spellEnd"/>
      <w:r w:rsidRPr="00E64E9F">
        <w:rPr>
          <w:lang w:val="es-ES"/>
        </w:rPr>
        <w:t xml:space="preserve"> exige demostrar que los grupos eran estadísticamente comparables ANTES de la intervención. Actualmente solo se afirma que 'ambos grupos presentan dificultades académicas', lo que no es evidencia estadística.</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Qué hacer con los datos del </w:t>
      </w:r>
      <w:proofErr w:type="spellStart"/>
      <w:r w:rsidRPr="00E64E9F">
        <w:rPr>
          <w:lang w:val="es-ES"/>
        </w:rPr>
        <w:t>pretest</w:t>
      </w:r>
      <w:proofErr w:type="spellEnd"/>
      <w:r w:rsidRPr="00E64E9F">
        <w:rPr>
          <w:lang w:val="es-ES"/>
        </w:rPr>
        <w:t xml:space="preserve"> en R:</w:t>
      </w:r>
    </w:p>
    <w:p w:rsidR="00E64E9F" w:rsidRPr="00E64E9F" w:rsidRDefault="00E64E9F" w:rsidP="00E64E9F">
      <w:pPr>
        <w:rPr>
          <w:lang w:val="es-ES"/>
        </w:rPr>
      </w:pPr>
      <w:r w:rsidRPr="00E64E9F">
        <w:rPr>
          <w:lang w:val="es-ES"/>
        </w:rPr>
        <w:t xml:space="preserve"># Cargar los datos </w:t>
      </w:r>
      <w:proofErr w:type="spellStart"/>
      <w:r w:rsidRPr="00E64E9F">
        <w:rPr>
          <w:lang w:val="es-ES"/>
        </w:rPr>
        <w:t>pretest_control</w:t>
      </w:r>
      <w:proofErr w:type="spellEnd"/>
      <w:r w:rsidRPr="00E64E9F">
        <w:rPr>
          <w:lang w:val="es-ES"/>
        </w:rPr>
        <w:t xml:space="preserve"> &lt;- c</w:t>
      </w:r>
      <w:proofErr w:type="gramStart"/>
      <w:r w:rsidRPr="00E64E9F">
        <w:rPr>
          <w:lang w:val="es-ES"/>
        </w:rPr>
        <w:t>(...)  #</w:t>
      </w:r>
      <w:proofErr w:type="gramEnd"/>
      <w:r w:rsidRPr="00E64E9F">
        <w:rPr>
          <w:lang w:val="es-ES"/>
        </w:rPr>
        <w:t xml:space="preserve"> puntajes del grupo control </w:t>
      </w:r>
      <w:proofErr w:type="spellStart"/>
      <w:r w:rsidRPr="00E64E9F">
        <w:rPr>
          <w:lang w:val="es-ES"/>
        </w:rPr>
        <w:t>pretest_experimental</w:t>
      </w:r>
      <w:proofErr w:type="spellEnd"/>
      <w:r w:rsidRPr="00E64E9F">
        <w:rPr>
          <w:lang w:val="es-ES"/>
        </w:rPr>
        <w:t xml:space="preserve"> &lt;- c(...)  # puntajes del grupo experimental  # Prueba t sobre el </w:t>
      </w:r>
      <w:proofErr w:type="spellStart"/>
      <w:r w:rsidRPr="00E64E9F">
        <w:rPr>
          <w:lang w:val="es-ES"/>
        </w:rPr>
        <w:t>pretest</w:t>
      </w:r>
      <w:proofErr w:type="spellEnd"/>
      <w:r w:rsidRPr="00E64E9F">
        <w:rPr>
          <w:lang w:val="es-ES"/>
        </w:rPr>
        <w:t xml:space="preserve"> </w:t>
      </w:r>
      <w:proofErr w:type="spellStart"/>
      <w:r w:rsidRPr="00E64E9F">
        <w:rPr>
          <w:lang w:val="es-ES"/>
        </w:rPr>
        <w:t>t.test</w:t>
      </w:r>
      <w:proofErr w:type="spellEnd"/>
      <w:r w:rsidRPr="00E64E9F">
        <w:rPr>
          <w:lang w:val="es-ES"/>
        </w:rPr>
        <w:t>(</w:t>
      </w:r>
      <w:proofErr w:type="spellStart"/>
      <w:r w:rsidRPr="00E64E9F">
        <w:rPr>
          <w:lang w:val="es-ES"/>
        </w:rPr>
        <w:t>pretest_control</w:t>
      </w:r>
      <w:proofErr w:type="spellEnd"/>
      <w:r w:rsidRPr="00E64E9F">
        <w:rPr>
          <w:lang w:val="es-ES"/>
        </w:rPr>
        <w:t xml:space="preserve">, </w:t>
      </w:r>
      <w:proofErr w:type="spellStart"/>
      <w:r w:rsidRPr="00E64E9F">
        <w:rPr>
          <w:lang w:val="es-ES"/>
        </w:rPr>
        <w:t>pretest_experimental</w:t>
      </w:r>
      <w:proofErr w:type="spellEnd"/>
      <w:r w:rsidRPr="00E64E9F">
        <w:rPr>
          <w:lang w:val="es-ES"/>
        </w:rPr>
        <w:t>)  # Si p &gt; 0.05: los grupos son equivalentes</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Párrafo a agregar </w:t>
      </w:r>
      <w:proofErr w:type="gramStart"/>
      <w:r w:rsidRPr="00E64E9F">
        <w:rPr>
          <w:lang w:val="es-ES"/>
        </w:rPr>
        <w:t>en  3.3</w:t>
      </w:r>
      <w:proofErr w:type="gramEnd"/>
      <w:r w:rsidRPr="00E64E9F">
        <w:rPr>
          <w:lang w:val="es-ES"/>
        </w:rPr>
        <w:t xml:space="preserve"> (si p &gt; .05):</w:t>
      </w:r>
    </w:p>
    <w:p w:rsidR="00E64E9F" w:rsidRPr="00E64E9F" w:rsidRDefault="00E64E9F" w:rsidP="00E64E9F">
      <w:pPr>
        <w:rPr>
          <w:lang w:val="es-ES"/>
        </w:rPr>
      </w:pPr>
      <w:r w:rsidRPr="00E64E9F">
        <w:rPr>
          <w:lang w:val="es-ES"/>
        </w:rPr>
        <w:t xml:space="preserve">Con el fin de verificar la equivalencia inicial entre grupos, se realizó una prueba t de </w:t>
      </w:r>
      <w:proofErr w:type="spellStart"/>
      <w:r w:rsidRPr="00E64E9F">
        <w:rPr>
          <w:lang w:val="es-ES"/>
        </w:rPr>
        <w:t>Student</w:t>
      </w:r>
      <w:proofErr w:type="spellEnd"/>
      <w:r w:rsidRPr="00E64E9F">
        <w:rPr>
          <w:lang w:val="es-ES"/>
        </w:rPr>
        <w:t xml:space="preserve"> sobre los puntajes del </w:t>
      </w:r>
      <w:proofErr w:type="spellStart"/>
      <w:r w:rsidRPr="00E64E9F">
        <w:rPr>
          <w:lang w:val="es-ES"/>
        </w:rPr>
        <w:t>pretest</w:t>
      </w:r>
      <w:proofErr w:type="spellEnd"/>
      <w:r w:rsidRPr="00E64E9F">
        <w:rPr>
          <w:lang w:val="es-ES"/>
        </w:rPr>
        <w:t xml:space="preserve">. No se encontraron diferencias estadísticamente significativas entre el grupo control (M = ___, SD = ___) y el grupo experimental (M = ___, SD = ___), </w:t>
      </w:r>
      <w:proofErr w:type="gramStart"/>
      <w:r w:rsidRPr="00E64E9F">
        <w:rPr>
          <w:lang w:val="es-ES"/>
        </w:rPr>
        <w:t>t(</w:t>
      </w:r>
      <w:proofErr w:type="gramEnd"/>
      <w:r w:rsidRPr="00E64E9F">
        <w:rPr>
          <w:lang w:val="es-ES"/>
        </w:rPr>
        <w:t>46) = ___, p = .___, confirmando la comparabilidad de los grupos previo a la intervención.</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Reportar pruebas de supuestos para la prueba t</w:t>
      </w:r>
    </w:p>
    <w:p w:rsidR="00E64E9F" w:rsidRPr="00E64E9F" w:rsidRDefault="00E64E9F" w:rsidP="00E64E9F">
      <w:pPr>
        <w:rPr>
          <w:color w:val="FF0000"/>
          <w:lang w:val="es-ES"/>
        </w:rPr>
      </w:pPr>
      <w:r w:rsidRPr="00E64E9F">
        <w:rPr>
          <w:color w:val="FF0000"/>
          <w:lang w:val="es-ES"/>
        </w:rPr>
        <w:t>SUPUESTOS NO VERIFICADOS</w:t>
      </w:r>
    </w:p>
    <w:p w:rsidR="00E64E9F" w:rsidRPr="00E64E9F" w:rsidRDefault="00E64E9F" w:rsidP="00E64E9F">
      <w:pPr>
        <w:rPr>
          <w:lang w:val="es-ES"/>
        </w:rPr>
      </w:pPr>
      <w:r w:rsidRPr="00E64E9F">
        <w:rPr>
          <w:lang w:val="es-ES"/>
        </w:rPr>
        <w:t xml:space="preserve">La prueba t asume normalidad de distribución y </w:t>
      </w:r>
      <w:proofErr w:type="spellStart"/>
      <w:r w:rsidRPr="00E64E9F">
        <w:rPr>
          <w:lang w:val="es-ES"/>
        </w:rPr>
        <w:t>homocedasticidad</w:t>
      </w:r>
      <w:proofErr w:type="spellEnd"/>
      <w:r w:rsidRPr="00E64E9F">
        <w:rPr>
          <w:lang w:val="es-ES"/>
        </w:rPr>
        <w:t xml:space="preserve">. No se reportan las pruebas de </w:t>
      </w:r>
      <w:proofErr w:type="spellStart"/>
      <w:r w:rsidRPr="00E64E9F">
        <w:rPr>
          <w:lang w:val="es-ES"/>
        </w:rPr>
        <w:t>Shapiro-Wilk</w:t>
      </w:r>
      <w:proofErr w:type="spellEnd"/>
      <w:r w:rsidRPr="00E64E9F">
        <w:rPr>
          <w:lang w:val="es-ES"/>
        </w:rPr>
        <w:t xml:space="preserve"> ni </w:t>
      </w:r>
      <w:proofErr w:type="spellStart"/>
      <w:r w:rsidRPr="00E64E9F">
        <w:rPr>
          <w:lang w:val="es-ES"/>
        </w:rPr>
        <w:t>Levene</w:t>
      </w:r>
      <w:proofErr w:type="spellEnd"/>
      <w:r w:rsidRPr="00E64E9F">
        <w:rPr>
          <w:lang w:val="es-ES"/>
        </w:rPr>
        <w:t>. Con n=24, su reporte es exigible.</w:t>
      </w:r>
    </w:p>
    <w:p w:rsidR="00E64E9F" w:rsidRPr="00E64E9F" w:rsidRDefault="00E64E9F" w:rsidP="00E64E9F">
      <w:pPr>
        <w:rPr>
          <w:lang w:val="es-ES"/>
        </w:rPr>
      </w:pPr>
    </w:p>
    <w:p w:rsidR="00E64E9F" w:rsidRPr="00E64E9F" w:rsidRDefault="00E64E9F" w:rsidP="00E64E9F">
      <w:pPr>
        <w:rPr>
          <w:lang w:val="es-ES"/>
        </w:rPr>
      </w:pPr>
      <w:r w:rsidRPr="00E64E9F">
        <w:rPr>
          <w:lang w:val="es-ES"/>
        </w:rPr>
        <w:t>Código R para verificar los supuestos:</w:t>
      </w:r>
    </w:p>
    <w:p w:rsidR="00E64E9F" w:rsidRPr="00E64E9F" w:rsidRDefault="00E64E9F" w:rsidP="00E64E9F">
      <w:pPr>
        <w:rPr>
          <w:lang w:val="es-ES"/>
        </w:rPr>
      </w:pPr>
      <w:r w:rsidRPr="00E64E9F">
        <w:rPr>
          <w:lang w:val="es-ES"/>
        </w:rPr>
        <w:t># Normalidad (</w:t>
      </w:r>
      <w:proofErr w:type="spellStart"/>
      <w:r w:rsidRPr="00E64E9F">
        <w:rPr>
          <w:lang w:val="es-ES"/>
        </w:rPr>
        <w:t>Shapiro-Wilk</w:t>
      </w:r>
      <w:proofErr w:type="spellEnd"/>
      <w:r w:rsidRPr="00E64E9F">
        <w:rPr>
          <w:lang w:val="es-ES"/>
        </w:rPr>
        <w:t xml:space="preserve">) </w:t>
      </w:r>
      <w:proofErr w:type="spellStart"/>
      <w:r w:rsidRPr="00E64E9F">
        <w:rPr>
          <w:lang w:val="es-ES"/>
        </w:rPr>
        <w:t>shapiro.test</w:t>
      </w:r>
      <w:proofErr w:type="spellEnd"/>
      <w:r w:rsidRPr="00E64E9F">
        <w:rPr>
          <w:lang w:val="es-ES"/>
        </w:rPr>
        <w:t>(</w:t>
      </w:r>
      <w:proofErr w:type="spellStart"/>
      <w:r w:rsidRPr="00E64E9F">
        <w:rPr>
          <w:lang w:val="es-ES"/>
        </w:rPr>
        <w:t>grupo_control_ganancia</w:t>
      </w:r>
      <w:proofErr w:type="spellEnd"/>
      <w:r w:rsidRPr="00E64E9F">
        <w:rPr>
          <w:lang w:val="es-ES"/>
        </w:rPr>
        <w:t xml:space="preserve">) </w:t>
      </w:r>
      <w:proofErr w:type="spellStart"/>
      <w:r w:rsidRPr="00E64E9F">
        <w:rPr>
          <w:lang w:val="es-ES"/>
        </w:rPr>
        <w:t>shapiro.test</w:t>
      </w:r>
      <w:proofErr w:type="spellEnd"/>
      <w:r w:rsidRPr="00E64E9F">
        <w:rPr>
          <w:lang w:val="es-ES"/>
        </w:rPr>
        <w:t>(</w:t>
      </w:r>
      <w:proofErr w:type="spellStart"/>
      <w:r w:rsidRPr="00E64E9F">
        <w:rPr>
          <w:lang w:val="es-ES"/>
        </w:rPr>
        <w:t>grupo_experimental_</w:t>
      </w:r>
      <w:proofErr w:type="gramStart"/>
      <w:r w:rsidRPr="00E64E9F">
        <w:rPr>
          <w:lang w:val="es-ES"/>
        </w:rPr>
        <w:t>ganancia</w:t>
      </w:r>
      <w:proofErr w:type="spellEnd"/>
      <w:r w:rsidRPr="00E64E9F">
        <w:rPr>
          <w:lang w:val="es-ES"/>
        </w:rPr>
        <w:t>)  #</w:t>
      </w:r>
      <w:proofErr w:type="gramEnd"/>
      <w:r w:rsidRPr="00E64E9F">
        <w:rPr>
          <w:lang w:val="es-ES"/>
        </w:rPr>
        <w:t xml:space="preserve"> </w:t>
      </w:r>
      <w:proofErr w:type="spellStart"/>
      <w:r w:rsidRPr="00E64E9F">
        <w:rPr>
          <w:lang w:val="es-ES"/>
        </w:rPr>
        <w:t>Homocedasticidad</w:t>
      </w:r>
      <w:proofErr w:type="spellEnd"/>
      <w:r w:rsidRPr="00E64E9F">
        <w:rPr>
          <w:lang w:val="es-ES"/>
        </w:rPr>
        <w:t xml:space="preserve"> (</w:t>
      </w:r>
      <w:proofErr w:type="spellStart"/>
      <w:r w:rsidRPr="00E64E9F">
        <w:rPr>
          <w:lang w:val="es-ES"/>
        </w:rPr>
        <w:t>Levene</w:t>
      </w:r>
      <w:proofErr w:type="spellEnd"/>
      <w:r w:rsidRPr="00E64E9F">
        <w:rPr>
          <w:lang w:val="es-ES"/>
        </w:rPr>
        <w:t xml:space="preserve">) </w:t>
      </w:r>
      <w:proofErr w:type="spellStart"/>
      <w:r w:rsidRPr="00E64E9F">
        <w:rPr>
          <w:lang w:val="es-ES"/>
        </w:rPr>
        <w:t>library</w:t>
      </w:r>
      <w:proofErr w:type="spellEnd"/>
      <w:r w:rsidRPr="00E64E9F">
        <w:rPr>
          <w:lang w:val="es-ES"/>
        </w:rPr>
        <w:t xml:space="preserve">(car) </w:t>
      </w:r>
      <w:proofErr w:type="spellStart"/>
      <w:r w:rsidRPr="00E64E9F">
        <w:rPr>
          <w:lang w:val="es-ES"/>
        </w:rPr>
        <w:t>leveneTest</w:t>
      </w:r>
      <w:proofErr w:type="spellEnd"/>
      <w:r w:rsidRPr="00E64E9F">
        <w:rPr>
          <w:lang w:val="es-ES"/>
        </w:rPr>
        <w:t>(puntaje ~ grupo, data = datos)</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Párrafo a agregar </w:t>
      </w:r>
      <w:proofErr w:type="gramStart"/>
      <w:r w:rsidRPr="00E64E9F">
        <w:rPr>
          <w:lang w:val="es-ES"/>
        </w:rPr>
        <w:t>en  3.4</w:t>
      </w:r>
      <w:proofErr w:type="gramEnd"/>
      <w:r w:rsidRPr="00E64E9F">
        <w:rPr>
          <w:lang w:val="es-ES"/>
        </w:rPr>
        <w:t xml:space="preserve"> antes de reportar la prueba t:</w:t>
      </w:r>
    </w:p>
    <w:p w:rsidR="00E64E9F" w:rsidRDefault="00E64E9F" w:rsidP="00E64E9F">
      <w:pPr>
        <w:rPr>
          <w:lang w:val="es-ES"/>
        </w:rPr>
      </w:pPr>
      <w:r w:rsidRPr="00E64E9F">
        <w:rPr>
          <w:lang w:val="es-ES"/>
        </w:rPr>
        <w:t xml:space="preserve">Previo al análisis inferencial se verificaron los supuestos de normalidad mediante la prueba de </w:t>
      </w:r>
      <w:proofErr w:type="spellStart"/>
      <w:r w:rsidRPr="00E64E9F">
        <w:rPr>
          <w:lang w:val="es-ES"/>
        </w:rPr>
        <w:t>Shapiro-Wilk</w:t>
      </w:r>
      <w:proofErr w:type="spellEnd"/>
      <w:r w:rsidRPr="00E64E9F">
        <w:rPr>
          <w:lang w:val="es-ES"/>
        </w:rPr>
        <w:t xml:space="preserve"> (GC: W = ___, p = ___; GE: W = ___, p = ___) y de homogeneidad de varianzas mediante la prueba de </w:t>
      </w:r>
      <w:proofErr w:type="spellStart"/>
      <w:r w:rsidRPr="00E64E9F">
        <w:rPr>
          <w:lang w:val="es-ES"/>
        </w:rPr>
        <w:t>Levene</w:t>
      </w:r>
      <w:proofErr w:type="spellEnd"/>
      <w:r w:rsidRPr="00E64E9F">
        <w:rPr>
          <w:lang w:val="es-ES"/>
        </w:rPr>
        <w:t xml:space="preserve"> (F = ___, p = ___). </w:t>
      </w:r>
    </w:p>
    <w:p w:rsidR="00E64E9F" w:rsidRDefault="00E64E9F" w:rsidP="00E64E9F">
      <w:pPr>
        <w:rPr>
          <w:lang w:val="es-ES"/>
        </w:rPr>
      </w:pPr>
    </w:p>
    <w:p w:rsidR="00E64E9F" w:rsidRPr="00E64E9F" w:rsidRDefault="00E64E9F" w:rsidP="00E64E9F">
      <w:pPr>
        <w:rPr>
          <w:color w:val="FF0000"/>
          <w:lang w:val="es-ES"/>
        </w:rPr>
      </w:pPr>
      <w:r w:rsidRPr="00E64E9F">
        <w:rPr>
          <w:color w:val="FF0000"/>
          <w:lang w:val="es-ES"/>
        </w:rPr>
        <w:t xml:space="preserve">Los resultados confirmaron el cumplimiento de los supuestos requeridos por la prueba t de </w:t>
      </w:r>
      <w:proofErr w:type="spellStart"/>
      <w:r w:rsidRPr="00E64E9F">
        <w:rPr>
          <w:color w:val="FF0000"/>
          <w:lang w:val="es-ES"/>
        </w:rPr>
        <w:t>Student</w:t>
      </w:r>
      <w:proofErr w:type="spellEnd"/>
      <w:r w:rsidRPr="00E64E9F">
        <w:rPr>
          <w:color w:val="FF0000"/>
          <w:lang w:val="es-ES"/>
        </w:rPr>
        <w:t xml:space="preserve"> para muestras independientes.</w:t>
      </w:r>
    </w:p>
    <w:p w:rsidR="00E64E9F" w:rsidRPr="00E64E9F" w:rsidRDefault="00E64E9F" w:rsidP="00E64E9F">
      <w:pPr>
        <w:rPr>
          <w:color w:val="FF0000"/>
          <w:lang w:val="es-ES"/>
        </w:rPr>
      </w:pPr>
      <w:r w:rsidRPr="00E64E9F">
        <w:rPr>
          <w:color w:val="FF0000"/>
          <w:lang w:val="es-ES"/>
        </w:rPr>
        <w:t>ALTERNATIVA NO PARAMÉTRICA</w:t>
      </w:r>
    </w:p>
    <w:p w:rsidR="00E64E9F" w:rsidRPr="00E64E9F" w:rsidRDefault="00E64E9F" w:rsidP="00E64E9F">
      <w:pPr>
        <w:rPr>
          <w:lang w:val="es-ES"/>
        </w:rPr>
      </w:pPr>
      <w:r w:rsidRPr="00E64E9F">
        <w:rPr>
          <w:lang w:val="es-ES"/>
        </w:rPr>
        <w:t>Si los supuestos NO se cumplen, usar la prueba U de Mann-Whitney como alternativa no paramétrica y reportarlo así.</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Dado que la prueba de </w:t>
      </w:r>
      <w:proofErr w:type="spellStart"/>
      <w:r w:rsidRPr="00E64E9F">
        <w:rPr>
          <w:lang w:val="es-ES"/>
        </w:rPr>
        <w:t>Shapiro-Wilk</w:t>
      </w:r>
      <w:proofErr w:type="spellEnd"/>
      <w:r w:rsidRPr="00E64E9F">
        <w:rPr>
          <w:lang w:val="es-ES"/>
        </w:rPr>
        <w:t xml:space="preserve"> indicó una desviación del supuesto de normalidad en al menos uno de los grupos (p &lt; .05), se utilizó la prueba U de Mann-Whitney como alternativa no paramétrica (U = ___, p &lt; .001, r = ___).</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 xml:space="preserve">Reconocer el sesgo del instrumento </w:t>
      </w:r>
      <w:proofErr w:type="gramStart"/>
      <w:r w:rsidRPr="00E64E9F">
        <w:rPr>
          <w:color w:val="FF0000"/>
          <w:lang w:val="es-ES"/>
        </w:rPr>
        <w:t>en  2.4</w:t>
      </w:r>
      <w:proofErr w:type="gramEnd"/>
    </w:p>
    <w:p w:rsidR="00E64E9F" w:rsidRPr="00E64E9F" w:rsidRDefault="00E64E9F" w:rsidP="00E64E9F">
      <w:pPr>
        <w:rPr>
          <w:color w:val="FF0000"/>
          <w:lang w:val="es-ES"/>
        </w:rPr>
      </w:pPr>
      <w:r w:rsidRPr="00E64E9F">
        <w:rPr>
          <w:color w:val="FF0000"/>
          <w:lang w:val="es-ES"/>
        </w:rPr>
        <w:t>LIMITACIÓN METODOLÓGICA CRÍTICA</w:t>
      </w:r>
    </w:p>
    <w:p w:rsidR="00E64E9F" w:rsidRPr="00E64E9F" w:rsidRDefault="00E64E9F" w:rsidP="00E64E9F">
      <w:pPr>
        <w:rPr>
          <w:lang w:val="es-ES"/>
        </w:rPr>
      </w:pPr>
      <w:r w:rsidRPr="00E64E9F">
        <w:rPr>
          <w:lang w:val="es-ES"/>
        </w:rPr>
        <w:t xml:space="preserve">El instrumento fue construido alineado con los contenidos de </w:t>
      </w:r>
      <w:proofErr w:type="spellStart"/>
      <w:r w:rsidRPr="00E64E9F">
        <w:rPr>
          <w:lang w:val="es-ES"/>
        </w:rPr>
        <w:t>PhET</w:t>
      </w:r>
      <w:proofErr w:type="spellEnd"/>
      <w:r w:rsidRPr="00E64E9F">
        <w:rPr>
          <w:lang w:val="es-ES"/>
        </w:rPr>
        <w:t xml:space="preserve"> usados en la intervención. Esto sesga artificialmente el </w:t>
      </w:r>
      <w:proofErr w:type="spellStart"/>
      <w:r w:rsidRPr="00E64E9F">
        <w:rPr>
          <w:lang w:val="es-ES"/>
        </w:rPr>
        <w:t>postest</w:t>
      </w:r>
      <w:proofErr w:type="spellEnd"/>
      <w:r w:rsidRPr="00E64E9F">
        <w:rPr>
          <w:lang w:val="es-ES"/>
        </w:rPr>
        <w:t xml:space="preserve"> hacia el grupo experimental.</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Agregar este párrafo </w:t>
      </w:r>
      <w:proofErr w:type="gramStart"/>
      <w:r w:rsidRPr="00E64E9F">
        <w:rPr>
          <w:lang w:val="es-ES"/>
        </w:rPr>
        <w:t>en  2.4</w:t>
      </w:r>
      <w:proofErr w:type="gramEnd"/>
      <w:r w:rsidRPr="00E64E9F">
        <w:rPr>
          <w:lang w:val="es-ES"/>
        </w:rPr>
        <w:t xml:space="preserve"> (Instrumentos), al final de la descripción del instrumento:</w:t>
      </w:r>
    </w:p>
    <w:p w:rsidR="00E64E9F" w:rsidRPr="00E64E9F" w:rsidRDefault="00E64E9F" w:rsidP="00E64E9F">
      <w:pPr>
        <w:rPr>
          <w:lang w:val="es-ES"/>
        </w:rPr>
      </w:pPr>
      <w:r w:rsidRPr="00E64E9F">
        <w:rPr>
          <w:lang w:val="es-ES"/>
        </w:rPr>
        <w:t xml:space="preserve">Cabe señalar que los ítems del instrumento fueron diseñados en coherencia con los contenidos trabajados durante la intervención —reacciones químicas a nivel corpuscular, balanceo de ecuaciones, modelo de partículas—, los cuales fueron abordados por ambos </w:t>
      </w:r>
      <w:proofErr w:type="gramStart"/>
      <w:r w:rsidRPr="00E64E9F">
        <w:rPr>
          <w:lang w:val="es-ES"/>
        </w:rPr>
        <w:t>grupos</w:t>
      </w:r>
      <w:proofErr w:type="gramEnd"/>
      <w:r w:rsidRPr="00E64E9F">
        <w:rPr>
          <w:lang w:val="es-ES"/>
        </w:rPr>
        <w:t xml:space="preserve"> aunque con metodologías distintas. Esta alineación entre instrumento e intervención constituye una limitación que debe considerarse al interpretar la magnitud del efecto observado, ya que el instrumento puede ser más sensible a los aprendizajes promovidos por el enfoque basado en simuladores que por la metodología tradicional.</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Reformular la declaración de 'diseño mixto'</w:t>
      </w:r>
    </w:p>
    <w:p w:rsidR="00E64E9F" w:rsidRPr="00E64E9F" w:rsidRDefault="00E64E9F" w:rsidP="00E64E9F">
      <w:pPr>
        <w:rPr>
          <w:color w:val="FF0000"/>
          <w:lang w:val="es-ES"/>
        </w:rPr>
      </w:pPr>
      <w:r w:rsidRPr="00E64E9F">
        <w:rPr>
          <w:color w:val="FF0000"/>
          <w:lang w:val="es-ES"/>
        </w:rPr>
        <w:t>SOBREDECLARACIÓN METODOLÓGICA</w:t>
      </w:r>
    </w:p>
    <w:p w:rsidR="00E64E9F" w:rsidRPr="00E64E9F" w:rsidRDefault="00E64E9F" w:rsidP="00E64E9F">
      <w:pPr>
        <w:rPr>
          <w:lang w:val="es-ES"/>
        </w:rPr>
      </w:pPr>
      <w:r w:rsidRPr="00E64E9F">
        <w:rPr>
          <w:lang w:val="es-ES"/>
        </w:rPr>
        <w:t>La tesis declara un 'diseño mixto secuencial explicativo' (</w:t>
      </w:r>
      <w:proofErr w:type="spellStart"/>
      <w:r w:rsidRPr="00E64E9F">
        <w:rPr>
          <w:lang w:val="es-ES"/>
        </w:rPr>
        <w:t>Creswell</w:t>
      </w:r>
      <w:proofErr w:type="spellEnd"/>
      <w:r w:rsidRPr="00E64E9F">
        <w:rPr>
          <w:lang w:val="es-ES"/>
        </w:rPr>
        <w:t xml:space="preserve"> &amp; Plano Clark, 2011), pero el componente cualitativo es mínimo. Esta denominación </w:t>
      </w:r>
      <w:proofErr w:type="spellStart"/>
      <w:r w:rsidRPr="00E64E9F">
        <w:rPr>
          <w:lang w:val="es-ES"/>
        </w:rPr>
        <w:t>sobredeclara</w:t>
      </w:r>
      <w:proofErr w:type="spellEnd"/>
      <w:r w:rsidRPr="00E64E9F">
        <w:rPr>
          <w:lang w:val="es-ES"/>
        </w:rPr>
        <w:t xml:space="preserve"> el alcance metodológico del estudio.</w:t>
      </w:r>
    </w:p>
    <w:p w:rsidR="00E64E9F" w:rsidRPr="00E64E9F" w:rsidRDefault="00E64E9F" w:rsidP="00E64E9F">
      <w:pPr>
        <w:rPr>
          <w:lang w:val="es-ES"/>
        </w:rPr>
      </w:pPr>
    </w:p>
    <w:p w:rsidR="00E64E9F" w:rsidRPr="00E64E9F" w:rsidRDefault="00E64E9F" w:rsidP="00E64E9F">
      <w:pPr>
        <w:rPr>
          <w:lang w:val="es-ES"/>
        </w:rPr>
      </w:pPr>
      <w:proofErr w:type="gramStart"/>
      <w:r w:rsidRPr="00E64E9F">
        <w:rPr>
          <w:lang w:val="es-ES"/>
        </w:rPr>
        <w:t>En  2.1</w:t>
      </w:r>
      <w:proofErr w:type="gramEnd"/>
      <w:r w:rsidRPr="00E64E9F">
        <w:rPr>
          <w:lang w:val="es-ES"/>
        </w:rPr>
        <w:t xml:space="preserve"> y  2.2, reemplazar la referencia al 'diseño mixto' por:</w:t>
      </w:r>
    </w:p>
    <w:p w:rsidR="00E64E9F" w:rsidRPr="00E64E9F" w:rsidRDefault="00E64E9F" w:rsidP="00E64E9F">
      <w:pPr>
        <w:rPr>
          <w:lang w:val="es-ES"/>
        </w:rPr>
      </w:pPr>
      <w:r w:rsidRPr="00E64E9F">
        <w:rPr>
          <w:lang w:val="es-ES"/>
        </w:rPr>
        <w:t>La investigación adopta un enfoque predominantemente cuantitativo con un componente descriptivo complementario. Si bien el análisis central se basa en procedimientos estadísticos inferenciales, se incorporan datos de percepción estudiantil obtenidos mediante cuestionario, los cuales permiten contextualizar e interpretar los resultados cuantitativos sin constituir una fase cualitativa independiente.</w:t>
      </w:r>
    </w:p>
    <w:p w:rsidR="00E64E9F" w:rsidRPr="00E64E9F" w:rsidRDefault="00E64E9F" w:rsidP="00E64E9F">
      <w:pPr>
        <w:rPr>
          <w:lang w:val="es-ES"/>
        </w:rPr>
      </w:pPr>
    </w:p>
    <w:p w:rsidR="00E64E9F" w:rsidRPr="00E64E9F" w:rsidRDefault="00E64E9F" w:rsidP="00E64E9F">
      <w:pPr>
        <w:rPr>
          <w:color w:val="FF0000"/>
          <w:lang w:val="es-ES"/>
        </w:rPr>
      </w:pPr>
      <w:proofErr w:type="spellStart"/>
      <w:r w:rsidRPr="00E64E9F">
        <w:rPr>
          <w:color w:val="FF0000"/>
          <w:lang w:val="es-ES"/>
        </w:rPr>
        <w:t>Reencuadrar</w:t>
      </w:r>
      <w:proofErr w:type="spellEnd"/>
      <w:r w:rsidRPr="00E64E9F">
        <w:rPr>
          <w:color w:val="FF0000"/>
          <w:lang w:val="es-ES"/>
        </w:rPr>
        <w:t xml:space="preserve"> el tamaño del efecto (d = 2.69) en las conclusiones</w:t>
      </w:r>
    </w:p>
    <w:p w:rsidR="00E64E9F" w:rsidRPr="00E64E9F" w:rsidRDefault="00E64E9F" w:rsidP="00E64E9F">
      <w:pPr>
        <w:rPr>
          <w:color w:val="FF0000"/>
          <w:lang w:val="es-ES"/>
        </w:rPr>
      </w:pPr>
      <w:r w:rsidRPr="00E64E9F">
        <w:rPr>
          <w:color w:val="FF0000"/>
          <w:lang w:val="es-ES"/>
        </w:rPr>
        <w:t>RIESGO ALTO EN DEFENSA</w:t>
      </w:r>
    </w:p>
    <w:p w:rsidR="00E64E9F" w:rsidRPr="00E64E9F" w:rsidRDefault="00E64E9F" w:rsidP="00E64E9F">
      <w:pPr>
        <w:rPr>
          <w:lang w:val="es-ES"/>
        </w:rPr>
      </w:pPr>
      <w:r w:rsidRPr="00E64E9F">
        <w:rPr>
          <w:lang w:val="es-ES"/>
        </w:rPr>
        <w:t>Un d de Cohen de 2.69 es extraordinariamente alto para investigación educativa y puede generar cuestionamientos directos del tribunal. Las conclusiones actuales lo presentan sin suficiente cautela.</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Reemplazar </w:t>
      </w:r>
      <w:proofErr w:type="gramStart"/>
      <w:r w:rsidRPr="00E64E9F">
        <w:rPr>
          <w:lang w:val="es-ES"/>
        </w:rPr>
        <w:t>en  4.0</w:t>
      </w:r>
      <w:proofErr w:type="gramEnd"/>
      <w:r w:rsidRPr="00E64E9F">
        <w:rPr>
          <w:lang w:val="es-ES"/>
        </w:rPr>
        <w:t xml:space="preserve"> el párrafo que celebra el valor por:</w:t>
      </w:r>
    </w:p>
    <w:p w:rsidR="00E64E9F" w:rsidRPr="00E64E9F" w:rsidRDefault="00E64E9F" w:rsidP="00E64E9F">
      <w:pPr>
        <w:rPr>
          <w:lang w:val="es-ES"/>
        </w:rPr>
      </w:pPr>
      <w:r w:rsidRPr="00E64E9F">
        <w:rPr>
          <w:lang w:val="es-ES"/>
        </w:rPr>
        <w:t>El tamaño del efecto obtenido (d = 2.69) supera ampliamente los umbrales convencionales para efectos grandes (Cohen, 1988). Sin embargo, este valor debe interpretarse con cautela por al menos dos razones. Primero, el instrumento fue construido en alineación con los contenidos de la intervención, lo que puede haber amplificado artificialmente la diferencia entre grupos. Segundo, el tamaño reducido de la muestra (n=24) hace que las estimaciones de d sean inestables (</w:t>
      </w:r>
      <w:proofErr w:type="spellStart"/>
      <w:r w:rsidRPr="00E64E9F">
        <w:rPr>
          <w:lang w:val="es-ES"/>
        </w:rPr>
        <w:t>Hattie</w:t>
      </w:r>
      <w:proofErr w:type="spellEnd"/>
      <w:r w:rsidRPr="00E64E9F">
        <w:rPr>
          <w:lang w:val="es-ES"/>
        </w:rPr>
        <w:t>, 2009). En consecuencia, estos resultados deben considerarse como evidencia preliminar y exploratoria en el contexto uruguayo, cuya robustez requiere confirmación mediante estudios con muestras más amplias e instrumentos estandarizados independientes de la intervención.</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Agregar en la bibliografía:</w:t>
      </w:r>
    </w:p>
    <w:p w:rsidR="00E64E9F" w:rsidRPr="00E64E9F" w:rsidRDefault="00E64E9F" w:rsidP="00E64E9F">
      <w:pPr>
        <w:rPr>
          <w:lang w:val="es-ES"/>
        </w:rPr>
      </w:pPr>
      <w:proofErr w:type="spellStart"/>
      <w:r w:rsidRPr="00E64E9F">
        <w:rPr>
          <w:lang w:val="es-ES"/>
        </w:rPr>
        <w:t>Hattie</w:t>
      </w:r>
      <w:proofErr w:type="spellEnd"/>
      <w:r w:rsidRPr="00E64E9F">
        <w:rPr>
          <w:lang w:val="es-ES"/>
        </w:rPr>
        <w:t xml:space="preserve">, J. (2009). </w:t>
      </w:r>
      <w:r>
        <w:t xml:space="preserve">Visible learning: A synthesis of over 800 meta-analyses relating to achievement. </w:t>
      </w:r>
      <w:proofErr w:type="spellStart"/>
      <w:r w:rsidRPr="00E64E9F">
        <w:rPr>
          <w:lang w:val="es-ES"/>
        </w:rPr>
        <w:t>Routledge</w:t>
      </w:r>
      <w:proofErr w:type="spellEnd"/>
      <w:r w:rsidRPr="00E64E9F">
        <w:rPr>
          <w:lang w:val="es-ES"/>
        </w:rPr>
        <w:t>.</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Agregar justificación del tamaño muestral (</w:t>
      </w:r>
      <w:proofErr w:type="spellStart"/>
      <w:r w:rsidRPr="00E64E9F">
        <w:rPr>
          <w:color w:val="FF0000"/>
          <w:lang w:val="es-ES"/>
        </w:rPr>
        <w:t>power</w:t>
      </w:r>
      <w:proofErr w:type="spellEnd"/>
      <w:r w:rsidRPr="00E64E9F">
        <w:rPr>
          <w:color w:val="FF0000"/>
          <w:lang w:val="es-ES"/>
        </w:rPr>
        <w:t xml:space="preserve"> </w:t>
      </w:r>
      <w:proofErr w:type="spellStart"/>
      <w:r w:rsidRPr="00E64E9F">
        <w:rPr>
          <w:color w:val="FF0000"/>
          <w:lang w:val="es-ES"/>
        </w:rPr>
        <w:t>analysis</w:t>
      </w:r>
      <w:proofErr w:type="spellEnd"/>
      <w:r w:rsidRPr="00E64E9F">
        <w:rPr>
          <w:color w:val="FF0000"/>
          <w:lang w:val="es-ES"/>
        </w:rPr>
        <w:t>)</w:t>
      </w:r>
    </w:p>
    <w:p w:rsidR="00E64E9F" w:rsidRPr="00E64E9F" w:rsidRDefault="00E64E9F" w:rsidP="00E64E9F">
      <w:pPr>
        <w:rPr>
          <w:color w:val="FF0000"/>
          <w:lang w:val="es-ES"/>
        </w:rPr>
      </w:pPr>
      <w:r w:rsidRPr="00E64E9F">
        <w:rPr>
          <w:color w:val="FF0000"/>
          <w:lang w:val="es-ES"/>
        </w:rPr>
        <w:t>OMISIÓN METODOLÓGICA</w:t>
      </w:r>
    </w:p>
    <w:p w:rsidR="00E64E9F" w:rsidRPr="00E64E9F" w:rsidRDefault="00E64E9F" w:rsidP="00E64E9F">
      <w:pPr>
        <w:rPr>
          <w:lang w:val="es-ES"/>
        </w:rPr>
      </w:pPr>
      <w:r w:rsidRPr="00E64E9F">
        <w:rPr>
          <w:lang w:val="es-ES"/>
        </w:rPr>
        <w:t>No hay cálculo de potencia estadística que justifique por qué n=24 es suficiente. En un estudio cuantitativo de maestría, esto es esperable.</w:t>
      </w:r>
    </w:p>
    <w:p w:rsidR="00E64E9F" w:rsidRPr="00E64E9F" w:rsidRDefault="00E64E9F" w:rsidP="00E64E9F">
      <w:pPr>
        <w:rPr>
          <w:lang w:val="es-ES"/>
        </w:rPr>
      </w:pPr>
    </w:p>
    <w:p w:rsidR="00E64E9F" w:rsidRPr="00E64E9F" w:rsidRDefault="00E64E9F" w:rsidP="00E64E9F">
      <w:pPr>
        <w:rPr>
          <w:lang w:val="es-ES"/>
        </w:rPr>
      </w:pPr>
      <w:r w:rsidRPr="00E64E9F">
        <w:rPr>
          <w:lang w:val="es-ES"/>
        </w:rPr>
        <w:t>Código R para el análisis post hoc:</w:t>
      </w:r>
    </w:p>
    <w:p w:rsidR="00E64E9F" w:rsidRPr="00E64E9F" w:rsidRDefault="00E64E9F" w:rsidP="00E64E9F">
      <w:pPr>
        <w:rPr>
          <w:lang w:val="es-ES"/>
        </w:rPr>
      </w:pPr>
      <w:proofErr w:type="spellStart"/>
      <w:r w:rsidRPr="00E64E9F">
        <w:rPr>
          <w:lang w:val="es-ES"/>
        </w:rPr>
        <w:t>library</w:t>
      </w:r>
      <w:proofErr w:type="spellEnd"/>
      <w:r w:rsidRPr="00E64E9F">
        <w:rPr>
          <w:lang w:val="es-ES"/>
        </w:rPr>
        <w:t>(</w:t>
      </w:r>
      <w:proofErr w:type="spellStart"/>
      <w:r w:rsidRPr="00E64E9F">
        <w:rPr>
          <w:lang w:val="es-ES"/>
        </w:rPr>
        <w:t>pwr</w:t>
      </w:r>
      <w:proofErr w:type="spellEnd"/>
      <w:r w:rsidRPr="00E64E9F">
        <w:rPr>
          <w:lang w:val="es-ES"/>
        </w:rPr>
        <w:t xml:space="preserve">) # n mínimo para efecto grande (d=0.8), </w:t>
      </w:r>
      <w:proofErr w:type="spellStart"/>
      <w:r w:rsidRPr="00E64E9F">
        <w:rPr>
          <w:lang w:val="es-ES"/>
        </w:rPr>
        <w:t>alpha</w:t>
      </w:r>
      <w:proofErr w:type="spellEnd"/>
      <w:r w:rsidRPr="00E64E9F">
        <w:rPr>
          <w:lang w:val="es-ES"/>
        </w:rPr>
        <w:t xml:space="preserve">=0.05, poder=0.80 </w:t>
      </w:r>
      <w:proofErr w:type="spellStart"/>
      <w:r w:rsidRPr="00E64E9F">
        <w:rPr>
          <w:lang w:val="es-ES"/>
        </w:rPr>
        <w:t>pwr.t.</w:t>
      </w:r>
      <w:proofErr w:type="gramStart"/>
      <w:r w:rsidRPr="00E64E9F">
        <w:rPr>
          <w:lang w:val="es-ES"/>
        </w:rPr>
        <w:t>test</w:t>
      </w:r>
      <w:proofErr w:type="spellEnd"/>
      <w:r w:rsidRPr="00E64E9F">
        <w:rPr>
          <w:lang w:val="es-ES"/>
        </w:rPr>
        <w:t>(</w:t>
      </w:r>
      <w:proofErr w:type="gramEnd"/>
      <w:r w:rsidRPr="00E64E9F">
        <w:rPr>
          <w:lang w:val="es-ES"/>
        </w:rPr>
        <w:t xml:space="preserve">d = 0.8, </w:t>
      </w:r>
      <w:proofErr w:type="spellStart"/>
      <w:r w:rsidRPr="00E64E9F">
        <w:rPr>
          <w:lang w:val="es-ES"/>
        </w:rPr>
        <w:t>sig.level</w:t>
      </w:r>
      <w:proofErr w:type="spellEnd"/>
      <w:r w:rsidRPr="00E64E9F">
        <w:rPr>
          <w:lang w:val="es-ES"/>
        </w:rPr>
        <w:t xml:space="preserve"> = 0.05, </w:t>
      </w:r>
      <w:proofErr w:type="spellStart"/>
      <w:r w:rsidRPr="00E64E9F">
        <w:rPr>
          <w:lang w:val="es-ES"/>
        </w:rPr>
        <w:t>power</w:t>
      </w:r>
      <w:proofErr w:type="spellEnd"/>
      <w:r w:rsidRPr="00E64E9F">
        <w:rPr>
          <w:lang w:val="es-ES"/>
        </w:rPr>
        <w:t xml:space="preserve"> = 0.80, </w:t>
      </w:r>
      <w:proofErr w:type="spellStart"/>
      <w:r w:rsidRPr="00E64E9F">
        <w:rPr>
          <w:lang w:val="es-ES"/>
        </w:rPr>
        <w:t>type</w:t>
      </w:r>
      <w:proofErr w:type="spellEnd"/>
      <w:r w:rsidRPr="00E64E9F">
        <w:rPr>
          <w:lang w:val="es-ES"/>
        </w:rPr>
        <w:t xml:space="preserve"> = '</w:t>
      </w:r>
      <w:proofErr w:type="spellStart"/>
      <w:r w:rsidRPr="00E64E9F">
        <w:rPr>
          <w:lang w:val="es-ES"/>
        </w:rPr>
        <w:t>two.sample</w:t>
      </w:r>
      <w:proofErr w:type="spellEnd"/>
      <w:r w:rsidRPr="00E64E9F">
        <w:rPr>
          <w:lang w:val="es-ES"/>
        </w:rPr>
        <w:t>') # Resultado esperado: n ≈ 26 por grupo</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Párrafo a agregar </w:t>
      </w:r>
      <w:proofErr w:type="gramStart"/>
      <w:r w:rsidRPr="00E64E9F">
        <w:rPr>
          <w:lang w:val="es-ES"/>
        </w:rPr>
        <w:t>en  2.7</w:t>
      </w:r>
      <w:proofErr w:type="gramEnd"/>
      <w:r w:rsidRPr="00E64E9F">
        <w:rPr>
          <w:lang w:val="es-ES"/>
        </w:rPr>
        <w:t xml:space="preserve"> (Muestra):</w:t>
      </w:r>
    </w:p>
    <w:p w:rsidR="00E64E9F" w:rsidRPr="00E64E9F" w:rsidRDefault="00E64E9F" w:rsidP="00E64E9F">
      <w:pPr>
        <w:rPr>
          <w:lang w:val="es-ES"/>
        </w:rPr>
      </w:pPr>
      <w:r w:rsidRPr="00E64E9F">
        <w:rPr>
          <w:lang w:val="es-ES"/>
        </w:rPr>
        <w:t xml:space="preserve">Aunque el tamaño muestral final (n=24 por grupo) resultó levemente inferior a la proyección inicial (n=30), un análisis de potencia post hoc indica que esta muestra permite detectar efectos de tamaño grande (d ≥ 0.8) con una potencia estadística de .80 y un nivel de significación de </w:t>
      </w:r>
      <w:r>
        <w:t>α</w:t>
      </w:r>
      <w:r w:rsidRPr="00E64E9F">
        <w:rPr>
          <w:lang w:val="es-ES"/>
        </w:rPr>
        <w:t xml:space="preserve"> = .05 (</w:t>
      </w:r>
      <w:proofErr w:type="spellStart"/>
      <w:r w:rsidRPr="00E64E9F">
        <w:rPr>
          <w:lang w:val="es-ES"/>
        </w:rPr>
        <w:t>Shadish</w:t>
      </w:r>
      <w:proofErr w:type="spellEnd"/>
      <w:r w:rsidRPr="00E64E9F">
        <w:rPr>
          <w:lang w:val="es-ES"/>
        </w:rPr>
        <w:t xml:space="preserve"> et al., 2002), lo que resulta adecuado para los objetivos del estudio.</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 xml:space="preserve">Reemplazar referencia de YouTube por </w:t>
      </w:r>
      <w:proofErr w:type="spellStart"/>
      <w:r w:rsidRPr="00E64E9F">
        <w:rPr>
          <w:color w:val="FF0000"/>
          <w:lang w:val="es-ES"/>
        </w:rPr>
        <w:t>Shadish</w:t>
      </w:r>
      <w:proofErr w:type="spellEnd"/>
      <w:r w:rsidRPr="00E64E9F">
        <w:rPr>
          <w:color w:val="FF0000"/>
          <w:lang w:val="es-ES"/>
        </w:rPr>
        <w:t xml:space="preserve"> et al. (2002)</w:t>
      </w:r>
    </w:p>
    <w:p w:rsidR="00E64E9F" w:rsidRPr="00E64E9F" w:rsidRDefault="00E64E9F" w:rsidP="00E64E9F">
      <w:pPr>
        <w:rPr>
          <w:lang w:val="es-ES"/>
        </w:rPr>
      </w:pPr>
      <w:r w:rsidRPr="00E64E9F">
        <w:rPr>
          <w:lang w:val="es-ES"/>
        </w:rPr>
        <w:t xml:space="preserve">La justificación del diseño </w:t>
      </w:r>
      <w:proofErr w:type="spellStart"/>
      <w:r w:rsidRPr="00E64E9F">
        <w:rPr>
          <w:lang w:val="es-ES"/>
        </w:rPr>
        <w:t>cuasiexperimental</w:t>
      </w:r>
      <w:proofErr w:type="spellEnd"/>
      <w:r w:rsidRPr="00E64E9F">
        <w:rPr>
          <w:lang w:val="es-ES"/>
        </w:rPr>
        <w:t xml:space="preserve"> actualmente cita un video de YouTube. </w:t>
      </w:r>
      <w:proofErr w:type="gramStart"/>
      <w:r w:rsidRPr="00E64E9F">
        <w:rPr>
          <w:lang w:val="es-ES"/>
        </w:rPr>
        <w:t>En  2.2</w:t>
      </w:r>
      <w:proofErr w:type="gramEnd"/>
      <w:r w:rsidRPr="00E64E9F">
        <w:rPr>
          <w:lang w:val="es-ES"/>
        </w:rPr>
        <w:t>, reemplazar la cita de Moraleda (2016) por:</w:t>
      </w:r>
    </w:p>
    <w:p w:rsidR="00E64E9F" w:rsidRPr="00E64E9F" w:rsidRDefault="00E64E9F" w:rsidP="00E64E9F">
      <w:pPr>
        <w:rPr>
          <w:lang w:val="es-ES"/>
        </w:rPr>
      </w:pPr>
      <w:r w:rsidRPr="00E64E9F">
        <w:rPr>
          <w:lang w:val="es-ES"/>
        </w:rPr>
        <w:t xml:space="preserve">El diseño </w:t>
      </w:r>
      <w:proofErr w:type="spellStart"/>
      <w:r w:rsidRPr="00E64E9F">
        <w:rPr>
          <w:lang w:val="es-ES"/>
        </w:rPr>
        <w:t>cuasiexperimental</w:t>
      </w:r>
      <w:proofErr w:type="spellEnd"/>
      <w:r w:rsidRPr="00E64E9F">
        <w:rPr>
          <w:lang w:val="es-ES"/>
        </w:rPr>
        <w:t xml:space="preserve"> con grupo de control no equivalente resulta apropiado para investigaciones educativas en contextos naturales donde la asignación aleatoria no es factible (</w:t>
      </w:r>
      <w:proofErr w:type="spellStart"/>
      <w:r w:rsidRPr="00E64E9F">
        <w:rPr>
          <w:lang w:val="es-ES"/>
        </w:rPr>
        <w:t>Shadish</w:t>
      </w:r>
      <w:proofErr w:type="spellEnd"/>
      <w:r w:rsidRPr="00E64E9F">
        <w:rPr>
          <w:lang w:val="es-ES"/>
        </w:rPr>
        <w:t>, Cook &amp; Campbell, 2002). Este tipo de diseño permite comparar grupos preexistentes controlando variables externas relevantes, preservando la validez ecológica del estudio.</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Consolidar las limitaciones en un párrafo único</w:t>
      </w:r>
    </w:p>
    <w:p w:rsidR="00E64E9F" w:rsidRPr="00E64E9F" w:rsidRDefault="00E64E9F" w:rsidP="00E64E9F">
      <w:pPr>
        <w:rPr>
          <w:color w:val="FF0000"/>
          <w:lang w:val="es-ES"/>
        </w:rPr>
      </w:pPr>
      <w:r w:rsidRPr="00E64E9F">
        <w:rPr>
          <w:color w:val="FF0000"/>
          <w:lang w:val="es-ES"/>
        </w:rPr>
        <w:lastRenderedPageBreak/>
        <w:t>RECOMENDACIÓN</w:t>
      </w:r>
    </w:p>
    <w:p w:rsidR="00E64E9F" w:rsidRPr="00E64E9F" w:rsidRDefault="00E64E9F" w:rsidP="00E64E9F">
      <w:pPr>
        <w:rPr>
          <w:lang w:val="es-ES"/>
        </w:rPr>
      </w:pPr>
      <w:r w:rsidRPr="00E64E9F">
        <w:rPr>
          <w:lang w:val="es-ES"/>
        </w:rPr>
        <w:t xml:space="preserve">Las limitaciones actuales están dispersas en distintas secciones. Un párrafo explícito y completo </w:t>
      </w:r>
      <w:proofErr w:type="gramStart"/>
      <w:r w:rsidRPr="00E64E9F">
        <w:rPr>
          <w:lang w:val="es-ES"/>
        </w:rPr>
        <w:t>en  4.0</w:t>
      </w:r>
      <w:proofErr w:type="gramEnd"/>
      <w:r w:rsidRPr="00E64E9F">
        <w:rPr>
          <w:lang w:val="es-ES"/>
        </w:rPr>
        <w:t xml:space="preserve"> demuestra honestidad académica y prepara mejor la defensa.</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 xml:space="preserve">Agregar al inicio </w:t>
      </w:r>
      <w:proofErr w:type="gramStart"/>
      <w:r w:rsidRPr="00E64E9F">
        <w:rPr>
          <w:color w:val="FF0000"/>
          <w:lang w:val="es-ES"/>
        </w:rPr>
        <w:t>de  4.0</w:t>
      </w:r>
      <w:proofErr w:type="gramEnd"/>
      <w:r w:rsidRPr="00E64E9F">
        <w:rPr>
          <w:color w:val="FF0000"/>
          <w:lang w:val="es-ES"/>
        </w:rPr>
        <w:t xml:space="preserve"> (Conclusiones) o como  4.0.1:</w:t>
      </w:r>
    </w:p>
    <w:p w:rsidR="00E64E9F" w:rsidRDefault="00E64E9F" w:rsidP="00E64E9F">
      <w:pPr>
        <w:rPr>
          <w:lang w:val="es-ES"/>
        </w:rPr>
      </w:pPr>
      <w:r w:rsidRPr="00E64E9F">
        <w:rPr>
          <w:lang w:val="es-ES"/>
        </w:rPr>
        <w:t>Este estudio presenta varias limitaciones que deben considerarse al interpretar los resultados. En primer lugar, el tamaño muestral reducido (n=24 por grupo) limita la generalización de los hallazgos más allá del contexto específico del liceo estudiado. En segundo lugar, el investigador cumplió simultáneamente el rol de docente de ambos grupos, lo que introduce riesgo de sesgo de implementación a pesar de las medidas de mitigación adoptadas (corrección ciega, instrumento prediseñado). En tercer lugar, la duración acotada de la intervención —cuatro semanas— no permite evaluar la retención de los aprendizajes a mediano plazo. Finalmente, el instrumento fue diseñado en alineación con los contenidos de la intervención, lo que puede haber influido en la magnitud del efecto observado. Estas limitaciones sugieren la necesidad de estudios de replicación con muestras más amplias, períodos más extensos e instrumentos estandarizados independientes de la intervención.</w:t>
      </w:r>
    </w:p>
    <w:p w:rsidR="00E64E9F" w:rsidRPr="00E64E9F" w:rsidRDefault="00E64E9F" w:rsidP="00E64E9F">
      <w:pPr>
        <w:rPr>
          <w:lang w:val="es-ES"/>
        </w:rPr>
      </w:pPr>
    </w:p>
    <w:p w:rsidR="00E64E9F" w:rsidRPr="00E64E9F" w:rsidRDefault="00E64E9F" w:rsidP="00E64E9F">
      <w:pPr>
        <w:rPr>
          <w:color w:val="FF0000"/>
          <w:lang w:val="es-ES"/>
        </w:rPr>
      </w:pPr>
      <w:r w:rsidRPr="00E64E9F">
        <w:rPr>
          <w:color w:val="FF0000"/>
          <w:lang w:val="es-ES"/>
        </w:rPr>
        <w:t>La observación</w:t>
      </w:r>
    </w:p>
    <w:p w:rsidR="00E64E9F" w:rsidRDefault="00E64E9F" w:rsidP="00E64E9F">
      <w:pPr>
        <w:rPr>
          <w:lang w:val="es-ES"/>
        </w:rPr>
      </w:pPr>
      <w:r w:rsidRPr="00E64E9F">
        <w:rPr>
          <w:lang w:val="es-ES"/>
        </w:rPr>
        <w:t xml:space="preserve">En la página correspondiente </w:t>
      </w:r>
      <w:proofErr w:type="gramStart"/>
      <w:r w:rsidRPr="00E64E9F">
        <w:rPr>
          <w:lang w:val="es-ES"/>
        </w:rPr>
        <w:t xml:space="preserve">a </w:t>
      </w:r>
      <w:r>
        <w:rPr>
          <w:lang w:val="es-ES"/>
        </w:rPr>
        <w:t xml:space="preserve"> </w:t>
      </w:r>
      <w:r w:rsidRPr="00E64E9F">
        <w:rPr>
          <w:lang w:val="es-ES"/>
        </w:rPr>
        <w:t>2.4</w:t>
      </w:r>
      <w:proofErr w:type="gramEnd"/>
      <w:r w:rsidRPr="00E64E9F">
        <w:rPr>
          <w:lang w:val="es-ES"/>
        </w:rPr>
        <w:t xml:space="preserve"> (Instrumentos) </w:t>
      </w:r>
      <w:r w:rsidRPr="00E64E9F">
        <w:rPr>
          <w:lang w:val="es-ES"/>
        </w:rPr>
        <w:t>declaras</w:t>
      </w:r>
      <w:r w:rsidRPr="00E64E9F">
        <w:rPr>
          <w:lang w:val="es-ES"/>
        </w:rPr>
        <w:t xml:space="preserve"> que "se llevarán a cabo observaciones sistemáticas como técnica complementaria" y la describís como un registro controlado y meticuloso de conductas en el aula. Eso la posiciona como un instrumento formal de recolección de datos.</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Sin embargo, en ningún lugar de la tesis aparece una guía de observación, un protocolo de registro, criterios de codificación, ni ningún instrumento asociado. En el capítulo de análisis </w:t>
      </w:r>
      <w:proofErr w:type="gramStart"/>
      <w:r w:rsidRPr="00E64E9F">
        <w:rPr>
          <w:lang w:val="es-ES"/>
        </w:rPr>
        <w:t>(</w:t>
      </w:r>
      <w:r>
        <w:rPr>
          <w:lang w:val="es-ES"/>
        </w:rPr>
        <w:t xml:space="preserve"> </w:t>
      </w:r>
      <w:r w:rsidRPr="00E64E9F">
        <w:rPr>
          <w:lang w:val="es-ES"/>
        </w:rPr>
        <w:t>3.3</w:t>
      </w:r>
      <w:proofErr w:type="gramEnd"/>
      <w:r w:rsidRPr="00E64E9F">
        <w:rPr>
          <w:lang w:val="es-ES"/>
        </w:rPr>
        <w:t xml:space="preserve">) </w:t>
      </w:r>
      <w:proofErr w:type="spellStart"/>
      <w:r w:rsidRPr="00E64E9F">
        <w:rPr>
          <w:lang w:val="es-ES"/>
        </w:rPr>
        <w:t>usás</w:t>
      </w:r>
      <w:proofErr w:type="spellEnd"/>
      <w:r w:rsidRPr="00E64E9F">
        <w:rPr>
          <w:lang w:val="es-ES"/>
        </w:rPr>
        <w:t xml:space="preserve"> párrafos cualitativos con ejemplos de respuestas de estudiantes, pero no queda claro si esos datos vienen de la observación en aula, de las respuestas abiertas del </w:t>
      </w:r>
      <w:proofErr w:type="spellStart"/>
      <w:r w:rsidRPr="00E64E9F">
        <w:rPr>
          <w:lang w:val="es-ES"/>
        </w:rPr>
        <w:t>pretest</w:t>
      </w:r>
      <w:proofErr w:type="spellEnd"/>
      <w:r w:rsidRPr="00E64E9F">
        <w:rPr>
          <w:lang w:val="es-ES"/>
        </w:rPr>
        <w:t>, o de una mezcla de ambos. La fuente nunca se declara.</w:t>
      </w:r>
    </w:p>
    <w:p w:rsidR="00E64E9F" w:rsidRDefault="00E64E9F" w:rsidP="00E64E9F">
      <w:pPr>
        <w:rPr>
          <w:lang w:val="es-ES"/>
        </w:rPr>
      </w:pPr>
      <w:r w:rsidRPr="00E64E9F">
        <w:rPr>
          <w:lang w:val="es-ES"/>
        </w:rPr>
        <w:t>Esto te deja expuesto a una pregunta directa del tribunal: ¿dónde está el instrumento de observación? Y no hay respuesta en el documento.</w:t>
      </w:r>
    </w:p>
    <w:p w:rsidR="00E64E9F" w:rsidRPr="00E64E9F" w:rsidRDefault="00E64E9F" w:rsidP="00E64E9F">
      <w:pPr>
        <w:rPr>
          <w:lang w:val="es-ES"/>
        </w:rPr>
      </w:pPr>
    </w:p>
    <w:p w:rsidR="00E64E9F" w:rsidRPr="00E64E9F" w:rsidRDefault="00E64E9F" w:rsidP="00E64E9F">
      <w:pPr>
        <w:rPr>
          <w:lang w:val="es-ES"/>
        </w:rPr>
      </w:pPr>
      <w:r w:rsidRPr="00E64E9F">
        <w:rPr>
          <w:lang w:val="es-ES"/>
        </w:rPr>
        <w:t>T</w:t>
      </w:r>
      <w:r>
        <w:rPr>
          <w:lang w:val="es-ES"/>
        </w:rPr>
        <w:t>ienes</w:t>
      </w:r>
      <w:r w:rsidRPr="00E64E9F">
        <w:rPr>
          <w:lang w:val="es-ES"/>
        </w:rPr>
        <w:t xml:space="preserve"> dos opciones:</w:t>
      </w:r>
    </w:p>
    <w:p w:rsidR="00E64E9F" w:rsidRPr="00E64E9F" w:rsidRDefault="00E64E9F" w:rsidP="00E64E9F">
      <w:pPr>
        <w:rPr>
          <w:lang w:val="es-ES"/>
        </w:rPr>
      </w:pPr>
      <w:r w:rsidRPr="00E64E9F">
        <w:rPr>
          <w:lang w:val="es-ES"/>
        </w:rPr>
        <w:t>Opción A — Eliminar la declaración de observación como técnica formal</w:t>
      </w:r>
    </w:p>
    <w:p w:rsidR="00E64E9F" w:rsidRPr="00E64E9F" w:rsidRDefault="00E64E9F" w:rsidP="00E64E9F">
      <w:pPr>
        <w:rPr>
          <w:lang w:val="es-ES"/>
        </w:rPr>
      </w:pPr>
      <w:r w:rsidRPr="00E64E9F">
        <w:rPr>
          <w:lang w:val="es-ES"/>
        </w:rPr>
        <w:t xml:space="preserve">Es la más limpia si en la práctica no hubo un protocolo estructurado. </w:t>
      </w:r>
      <w:proofErr w:type="spellStart"/>
      <w:r w:rsidRPr="00E64E9F">
        <w:rPr>
          <w:lang w:val="es-ES"/>
        </w:rPr>
        <w:t>Reemplazás</w:t>
      </w:r>
      <w:proofErr w:type="spellEnd"/>
      <w:r w:rsidRPr="00E64E9F">
        <w:rPr>
          <w:lang w:val="es-ES"/>
        </w:rPr>
        <w:t xml:space="preserve"> la frase </w:t>
      </w:r>
      <w:proofErr w:type="gramStart"/>
      <w:r w:rsidRPr="00E64E9F">
        <w:rPr>
          <w:lang w:val="es-ES"/>
        </w:rPr>
        <w:t xml:space="preserve">de </w:t>
      </w:r>
      <w:r>
        <w:rPr>
          <w:lang w:val="es-ES"/>
        </w:rPr>
        <w:t xml:space="preserve"> </w:t>
      </w:r>
      <w:r w:rsidRPr="00E64E9F">
        <w:rPr>
          <w:lang w:val="es-ES"/>
        </w:rPr>
        <w:t>2.4</w:t>
      </w:r>
      <w:proofErr w:type="gramEnd"/>
      <w:r w:rsidRPr="00E64E9F">
        <w:rPr>
          <w:lang w:val="es-ES"/>
        </w:rPr>
        <w:t xml:space="preserve"> por:</w:t>
      </w:r>
    </w:p>
    <w:p w:rsidR="00E64E9F" w:rsidRPr="00E64E9F" w:rsidRDefault="00E64E9F" w:rsidP="00E64E9F">
      <w:pPr>
        <w:rPr>
          <w:lang w:val="es-ES"/>
        </w:rPr>
      </w:pPr>
      <w:r w:rsidRPr="00E64E9F">
        <w:rPr>
          <w:lang w:val="es-ES"/>
        </w:rPr>
        <w:t>"Durante las sesiones de intervención, el docente-investigador realizó anotaciones informales sobre el desempeño y las dificultades conceptuales de los estudiantes. Estas anotaciones se utilizaron como insumo descriptivo para contextualizar los resultados cuantitativos, sin constituir un instrumento de recolección de datos independiente."</w:t>
      </w:r>
    </w:p>
    <w:p w:rsidR="00E64E9F" w:rsidRPr="00E64E9F" w:rsidRDefault="00E64E9F" w:rsidP="00E64E9F">
      <w:pPr>
        <w:rPr>
          <w:lang w:val="es-ES"/>
        </w:rPr>
      </w:pPr>
      <w:r w:rsidRPr="00E64E9F">
        <w:rPr>
          <w:lang w:val="es-ES"/>
        </w:rPr>
        <w:t xml:space="preserve">Y </w:t>
      </w:r>
      <w:proofErr w:type="gramStart"/>
      <w:r w:rsidRPr="00E64E9F">
        <w:rPr>
          <w:lang w:val="es-ES"/>
        </w:rPr>
        <w:t xml:space="preserve">en </w:t>
      </w:r>
      <w:r>
        <w:rPr>
          <w:lang w:val="es-ES"/>
        </w:rPr>
        <w:t xml:space="preserve"> </w:t>
      </w:r>
      <w:r w:rsidRPr="00E64E9F">
        <w:rPr>
          <w:lang w:val="es-ES"/>
        </w:rPr>
        <w:t>3.3</w:t>
      </w:r>
      <w:proofErr w:type="gramEnd"/>
      <w:r w:rsidRPr="00E64E9F">
        <w:rPr>
          <w:lang w:val="es-ES"/>
        </w:rPr>
        <w:t xml:space="preserve">, al inicio de los párrafos cualitativos, </w:t>
      </w:r>
      <w:proofErr w:type="spellStart"/>
      <w:r w:rsidRPr="00E64E9F">
        <w:rPr>
          <w:lang w:val="es-ES"/>
        </w:rPr>
        <w:t>agregás</w:t>
      </w:r>
      <w:proofErr w:type="spellEnd"/>
      <w:r w:rsidRPr="00E64E9F">
        <w:rPr>
          <w:lang w:val="es-ES"/>
        </w:rPr>
        <w:t xml:space="preserve"> una línea:</w:t>
      </w:r>
    </w:p>
    <w:p w:rsidR="00E64E9F" w:rsidRDefault="00E64E9F" w:rsidP="00E64E9F">
      <w:pPr>
        <w:rPr>
          <w:lang w:val="es-ES"/>
        </w:rPr>
      </w:pPr>
      <w:r w:rsidRPr="00E64E9F">
        <w:rPr>
          <w:lang w:val="es-ES"/>
        </w:rPr>
        <w:t xml:space="preserve">"Las siguientes observaciones descriptivas se basan en el análisis de las respuestas abiertas del </w:t>
      </w:r>
      <w:proofErr w:type="spellStart"/>
      <w:r w:rsidRPr="00E64E9F">
        <w:rPr>
          <w:lang w:val="es-ES"/>
        </w:rPr>
        <w:t>pretest</w:t>
      </w:r>
      <w:proofErr w:type="spellEnd"/>
      <w:r w:rsidRPr="00E64E9F">
        <w:rPr>
          <w:lang w:val="es-ES"/>
        </w:rPr>
        <w:t xml:space="preserve"> y en las anotaciones del docente durante la intervención."</w:t>
      </w:r>
    </w:p>
    <w:p w:rsidR="00E64E9F" w:rsidRPr="00E64E9F" w:rsidRDefault="00E64E9F" w:rsidP="00E64E9F">
      <w:pPr>
        <w:rPr>
          <w:lang w:val="es-ES"/>
        </w:rPr>
      </w:pPr>
    </w:p>
    <w:p w:rsidR="00E64E9F" w:rsidRPr="00E64E9F" w:rsidRDefault="00E64E9F" w:rsidP="00E64E9F">
      <w:pPr>
        <w:rPr>
          <w:lang w:val="es-ES"/>
        </w:rPr>
      </w:pPr>
      <w:r w:rsidRPr="00E64E9F">
        <w:rPr>
          <w:lang w:val="es-ES"/>
        </w:rPr>
        <w:t xml:space="preserve">Opción B — Sostener la </w:t>
      </w:r>
      <w:bookmarkStart w:id="0" w:name="_GoBack"/>
      <w:bookmarkEnd w:id="0"/>
      <w:r w:rsidRPr="00E64E9F">
        <w:rPr>
          <w:lang w:val="es-ES"/>
        </w:rPr>
        <w:t>observación,</w:t>
      </w:r>
      <w:r w:rsidRPr="00E64E9F">
        <w:rPr>
          <w:lang w:val="es-ES"/>
        </w:rPr>
        <w:t xml:space="preserve"> pero dotarla de instrumento</w:t>
      </w:r>
    </w:p>
    <w:p w:rsidR="006015DB" w:rsidRPr="006015DB" w:rsidRDefault="00E64E9F" w:rsidP="00E64E9F">
      <w:pPr>
        <w:rPr>
          <w:lang w:val="es-ES"/>
        </w:rPr>
      </w:pPr>
      <w:r w:rsidRPr="00E64E9F">
        <w:rPr>
          <w:lang w:val="es-ES"/>
        </w:rPr>
        <w:t xml:space="preserve">Si sí tomaste notas estructuradas durante las clases, </w:t>
      </w:r>
      <w:r>
        <w:rPr>
          <w:lang w:val="es-ES"/>
        </w:rPr>
        <w:t>puedes</w:t>
      </w:r>
      <w:r w:rsidRPr="00E64E9F">
        <w:rPr>
          <w:lang w:val="es-ES"/>
        </w:rPr>
        <w:t xml:space="preserve"> legitimar esa técnica agregando </w:t>
      </w:r>
      <w:proofErr w:type="gramStart"/>
      <w:r w:rsidRPr="00E64E9F">
        <w:rPr>
          <w:lang w:val="es-ES"/>
        </w:rPr>
        <w:t xml:space="preserve">en </w:t>
      </w:r>
      <w:r>
        <w:rPr>
          <w:lang w:val="es-ES"/>
        </w:rPr>
        <w:t xml:space="preserve"> </w:t>
      </w:r>
      <w:r w:rsidRPr="00E64E9F">
        <w:rPr>
          <w:lang w:val="es-ES"/>
        </w:rPr>
        <w:t>2.4</w:t>
      </w:r>
      <w:proofErr w:type="gramEnd"/>
      <w:r w:rsidRPr="00E64E9F">
        <w:rPr>
          <w:lang w:val="es-ES"/>
        </w:rPr>
        <w:t xml:space="preserve"> una descripción del instrumento y moviéndolo a un Anexo. Mínimamente </w:t>
      </w:r>
      <w:r w:rsidRPr="00E64E9F">
        <w:rPr>
          <w:lang w:val="es-ES"/>
        </w:rPr>
        <w:t>necesitas</w:t>
      </w:r>
      <w:r w:rsidRPr="00E64E9F">
        <w:rPr>
          <w:lang w:val="es-ES"/>
        </w:rPr>
        <w:t xml:space="preserve"> declarar: qué dimensiones observabas, cómo las registrabas, y en qué momentos.</w:t>
      </w:r>
    </w:p>
    <w:sectPr w:rsidR="006015DB" w:rsidRPr="006015DB">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58C" w:rsidRDefault="008E058C">
      <w:r>
        <w:separator/>
      </w:r>
    </w:p>
  </w:endnote>
  <w:endnote w:type="continuationSeparator" w:id="0">
    <w:p w:rsidR="008E058C" w:rsidRDefault="008E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13" w:rsidRDefault="008E058C">
    <w:pPr>
      <w:pBdr>
        <w:top w:val="single" w:sz="4" w:space="4" w:color="D6E4F0"/>
      </w:pBdr>
      <w:jc w:val="center"/>
    </w:pPr>
    <w:proofErr w:type="spellStart"/>
    <w:r>
      <w:rPr>
        <w:color w:val="888888"/>
        <w:sz w:val="17"/>
        <w:szCs w:val="17"/>
      </w:rPr>
      <w:t>Página</w:t>
    </w:r>
    <w:proofErr w:type="spellEnd"/>
    <w:r>
      <w:rPr>
        <w:color w:val="888888"/>
        <w:sz w:val="17"/>
        <w:szCs w:val="17"/>
      </w:rPr>
      <w:t xml:space="preserve"> </w:t>
    </w:r>
    <w:r>
      <w:rPr>
        <w:color w:val="888888"/>
        <w:sz w:val="17"/>
        <w:szCs w:val="17"/>
      </w:rPr>
      <w:fldChar w:fldCharType="begin"/>
    </w:r>
    <w:r>
      <w:rPr>
        <w:color w:val="888888"/>
        <w:sz w:val="17"/>
        <w:szCs w:val="17"/>
      </w:rPr>
      <w:instrText>PAGE</w:instrText>
    </w:r>
    <w:r w:rsidR="006015DB">
      <w:rPr>
        <w:color w:val="888888"/>
        <w:sz w:val="17"/>
        <w:szCs w:val="17"/>
      </w:rPr>
      <w:fldChar w:fldCharType="separate"/>
    </w:r>
    <w:r w:rsidR="00E64E9F">
      <w:rPr>
        <w:noProof/>
        <w:color w:val="888888"/>
        <w:sz w:val="17"/>
        <w:szCs w:val="17"/>
      </w:rPr>
      <w:t>5</w:t>
    </w:r>
    <w:r>
      <w:rPr>
        <w:color w:val="888888"/>
        <w:sz w:val="17"/>
        <w:szCs w:val="17"/>
      </w:rPr>
      <w:fldChar w:fldCharType="end"/>
    </w:r>
    <w:r>
      <w:rPr>
        <w:color w:val="888888"/>
        <w:sz w:val="17"/>
        <w:szCs w:val="17"/>
      </w:rPr>
      <w:t xml:space="preserve"> de </w:t>
    </w:r>
    <w:r>
      <w:rPr>
        <w:color w:val="888888"/>
        <w:sz w:val="17"/>
        <w:szCs w:val="17"/>
      </w:rPr>
      <w:fldChar w:fldCharType="begin"/>
    </w:r>
    <w:r>
      <w:rPr>
        <w:color w:val="888888"/>
        <w:sz w:val="17"/>
        <w:szCs w:val="17"/>
      </w:rPr>
      <w:instrText>NUMPAGES</w:instrText>
    </w:r>
    <w:r w:rsidR="006015DB">
      <w:rPr>
        <w:color w:val="888888"/>
        <w:sz w:val="17"/>
        <w:szCs w:val="17"/>
      </w:rPr>
      <w:fldChar w:fldCharType="separate"/>
    </w:r>
    <w:r w:rsidR="00E64E9F">
      <w:rPr>
        <w:noProof/>
        <w:color w:val="888888"/>
        <w:sz w:val="17"/>
        <w:szCs w:val="17"/>
      </w:rPr>
      <w:t>5</w:t>
    </w:r>
    <w:r>
      <w:rPr>
        <w:color w:val="888888"/>
        <w:sz w:val="17"/>
        <w:szCs w:val="1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58C" w:rsidRDefault="008E058C">
      <w:r>
        <w:separator/>
      </w:r>
    </w:p>
  </w:footnote>
  <w:footnote w:type="continuationSeparator" w:id="0">
    <w:p w:rsidR="008E058C" w:rsidRDefault="008E05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13" w:rsidRPr="006015DB" w:rsidRDefault="001B0F13">
    <w:pPr>
      <w:pBdr>
        <w:bottom w:val="single" w:sz="4" w:space="4" w:color="D6E4F0"/>
      </w:pBdr>
      <w:jc w:val="right"/>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178D"/>
    <w:multiLevelType w:val="hybridMultilevel"/>
    <w:tmpl w:val="5D528ABC"/>
    <w:lvl w:ilvl="0" w:tplc="D89A1AA8">
      <w:start w:val="1"/>
      <w:numFmt w:val="decimal"/>
      <w:lvlText w:val="%1."/>
      <w:lvlJc w:val="left"/>
      <w:pPr>
        <w:ind w:left="720" w:hanging="360"/>
      </w:pPr>
    </w:lvl>
    <w:lvl w:ilvl="1" w:tplc="28E89E56">
      <w:numFmt w:val="decimal"/>
      <w:lvlText w:val=""/>
      <w:lvlJc w:val="left"/>
    </w:lvl>
    <w:lvl w:ilvl="2" w:tplc="D680A266">
      <w:numFmt w:val="decimal"/>
      <w:lvlText w:val=""/>
      <w:lvlJc w:val="left"/>
    </w:lvl>
    <w:lvl w:ilvl="3" w:tplc="BBAC33B8">
      <w:numFmt w:val="decimal"/>
      <w:lvlText w:val=""/>
      <w:lvlJc w:val="left"/>
    </w:lvl>
    <w:lvl w:ilvl="4" w:tplc="84D0C3A6">
      <w:numFmt w:val="decimal"/>
      <w:lvlText w:val=""/>
      <w:lvlJc w:val="left"/>
    </w:lvl>
    <w:lvl w:ilvl="5" w:tplc="667C355C">
      <w:numFmt w:val="decimal"/>
      <w:lvlText w:val=""/>
      <w:lvlJc w:val="left"/>
    </w:lvl>
    <w:lvl w:ilvl="6" w:tplc="9212643A">
      <w:numFmt w:val="decimal"/>
      <w:lvlText w:val=""/>
      <w:lvlJc w:val="left"/>
    </w:lvl>
    <w:lvl w:ilvl="7" w:tplc="7DCC9094">
      <w:numFmt w:val="decimal"/>
      <w:lvlText w:val=""/>
      <w:lvlJc w:val="left"/>
    </w:lvl>
    <w:lvl w:ilvl="8" w:tplc="E7FC4B7E">
      <w:numFmt w:val="decimal"/>
      <w:lvlText w:val=""/>
      <w:lvlJc w:val="left"/>
    </w:lvl>
  </w:abstractNum>
  <w:abstractNum w:abstractNumId="1" w15:restartNumberingAfterBreak="0">
    <w:nsid w:val="474C6A65"/>
    <w:multiLevelType w:val="hybridMultilevel"/>
    <w:tmpl w:val="DDC44034"/>
    <w:lvl w:ilvl="0" w:tplc="82208E38">
      <w:start w:val="1"/>
      <w:numFmt w:val="bullet"/>
      <w:lvlText w:val="●"/>
      <w:lvlJc w:val="left"/>
      <w:pPr>
        <w:ind w:left="720" w:hanging="360"/>
      </w:pPr>
    </w:lvl>
    <w:lvl w:ilvl="1" w:tplc="61184DB6">
      <w:start w:val="1"/>
      <w:numFmt w:val="bullet"/>
      <w:lvlText w:val="○"/>
      <w:lvlJc w:val="left"/>
      <w:pPr>
        <w:ind w:left="1440" w:hanging="360"/>
      </w:pPr>
    </w:lvl>
    <w:lvl w:ilvl="2" w:tplc="A3D6E9D4">
      <w:start w:val="1"/>
      <w:numFmt w:val="bullet"/>
      <w:lvlText w:val="■"/>
      <w:lvlJc w:val="left"/>
      <w:pPr>
        <w:ind w:left="2160" w:hanging="360"/>
      </w:pPr>
    </w:lvl>
    <w:lvl w:ilvl="3" w:tplc="FB9064E0">
      <w:start w:val="1"/>
      <w:numFmt w:val="bullet"/>
      <w:lvlText w:val="●"/>
      <w:lvlJc w:val="left"/>
      <w:pPr>
        <w:ind w:left="2880" w:hanging="360"/>
      </w:pPr>
    </w:lvl>
    <w:lvl w:ilvl="4" w:tplc="7546702C">
      <w:start w:val="1"/>
      <w:numFmt w:val="bullet"/>
      <w:lvlText w:val="○"/>
      <w:lvlJc w:val="left"/>
      <w:pPr>
        <w:ind w:left="3600" w:hanging="360"/>
      </w:pPr>
    </w:lvl>
    <w:lvl w:ilvl="5" w:tplc="EBDCEE76">
      <w:start w:val="1"/>
      <w:numFmt w:val="bullet"/>
      <w:lvlText w:val="■"/>
      <w:lvlJc w:val="left"/>
      <w:pPr>
        <w:ind w:left="4320" w:hanging="360"/>
      </w:pPr>
    </w:lvl>
    <w:lvl w:ilvl="6" w:tplc="A4AAB466">
      <w:start w:val="1"/>
      <w:numFmt w:val="bullet"/>
      <w:lvlText w:val="●"/>
      <w:lvlJc w:val="left"/>
      <w:pPr>
        <w:ind w:left="5040" w:hanging="360"/>
      </w:pPr>
    </w:lvl>
    <w:lvl w:ilvl="7" w:tplc="1E0C27CA">
      <w:start w:val="1"/>
      <w:numFmt w:val="bullet"/>
      <w:lvlText w:val="●"/>
      <w:lvlJc w:val="left"/>
      <w:pPr>
        <w:ind w:left="5760" w:hanging="360"/>
      </w:pPr>
    </w:lvl>
    <w:lvl w:ilvl="8" w:tplc="E0D28BA0">
      <w:start w:val="1"/>
      <w:numFmt w:val="bullet"/>
      <w:lvlText w:val="●"/>
      <w:lvlJc w:val="left"/>
      <w:pPr>
        <w:ind w:left="6480" w:hanging="360"/>
      </w:pPr>
    </w:lvl>
  </w:abstractNum>
  <w:abstractNum w:abstractNumId="2" w15:restartNumberingAfterBreak="0">
    <w:nsid w:val="7110517E"/>
    <w:multiLevelType w:val="hybridMultilevel"/>
    <w:tmpl w:val="3086E08A"/>
    <w:lvl w:ilvl="0" w:tplc="9B00FC0C">
      <w:start w:val="1"/>
      <w:numFmt w:val="bullet"/>
      <w:lvlText w:val="•"/>
      <w:lvlJc w:val="left"/>
      <w:pPr>
        <w:ind w:left="720" w:hanging="360"/>
      </w:pPr>
    </w:lvl>
    <w:lvl w:ilvl="1" w:tplc="17463562">
      <w:start w:val="1"/>
      <w:numFmt w:val="bullet"/>
      <w:lvlText w:val="–"/>
      <w:lvlJc w:val="left"/>
      <w:pPr>
        <w:ind w:left="1080" w:hanging="360"/>
      </w:pPr>
    </w:lvl>
    <w:lvl w:ilvl="2" w:tplc="722EAE40">
      <w:numFmt w:val="decimal"/>
      <w:lvlText w:val=""/>
      <w:lvlJc w:val="left"/>
    </w:lvl>
    <w:lvl w:ilvl="3" w:tplc="73BA3556">
      <w:numFmt w:val="decimal"/>
      <w:lvlText w:val=""/>
      <w:lvlJc w:val="left"/>
    </w:lvl>
    <w:lvl w:ilvl="4" w:tplc="6F908244">
      <w:numFmt w:val="decimal"/>
      <w:lvlText w:val=""/>
      <w:lvlJc w:val="left"/>
    </w:lvl>
    <w:lvl w:ilvl="5" w:tplc="D3E2FBA8">
      <w:numFmt w:val="decimal"/>
      <w:lvlText w:val=""/>
      <w:lvlJc w:val="left"/>
    </w:lvl>
    <w:lvl w:ilvl="6" w:tplc="03B6C0F8">
      <w:numFmt w:val="decimal"/>
      <w:lvlText w:val=""/>
      <w:lvlJc w:val="left"/>
    </w:lvl>
    <w:lvl w:ilvl="7" w:tplc="A1CA337A">
      <w:numFmt w:val="decimal"/>
      <w:lvlText w:val=""/>
      <w:lvlJc w:val="left"/>
    </w:lvl>
    <w:lvl w:ilvl="8" w:tplc="3A620F2A">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13"/>
    <w:rsid w:val="001B0F13"/>
    <w:rsid w:val="006015DB"/>
    <w:rsid w:val="008E058C"/>
    <w:rsid w:val="00E6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23EA"/>
  <w15:docId w15:val="{FCF05AF3-BC0C-4C22-8978-0CC917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spacing w:before="320" w:after="160"/>
      <w:outlineLvl w:val="0"/>
    </w:pPr>
    <w:rPr>
      <w:b/>
      <w:bCs/>
      <w:color w:val="1F4E79"/>
      <w:sz w:val="28"/>
      <w:szCs w:val="28"/>
    </w:rPr>
  </w:style>
  <w:style w:type="paragraph" w:styleId="Ttulo2">
    <w:name w:val="heading 2"/>
    <w:qFormat/>
    <w:pPr>
      <w:spacing w:before="280" w:after="120"/>
      <w:outlineLvl w:val="1"/>
    </w:pPr>
    <w:rPr>
      <w:b/>
      <w:bCs/>
      <w:color w:val="1F4E79"/>
      <w:sz w:val="24"/>
      <w:szCs w:val="24"/>
    </w:rPr>
  </w:style>
  <w:style w:type="paragraph" w:styleId="Ttulo3">
    <w:name w:val="heading 3"/>
    <w:qFormat/>
    <w:pPr>
      <w:spacing w:before="200" w:after="80"/>
      <w:outlineLvl w:val="2"/>
    </w:pPr>
    <w:rPr>
      <w:b/>
      <w:bCs/>
      <w:color w:val="404040"/>
      <w:sz w:val="22"/>
      <w:szCs w:val="22"/>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table" w:styleId="Cuadrculadetablaclara">
    <w:name w:val="Grid Table Light"/>
    <w:basedOn w:val="Tablanormal"/>
    <w:uiPriority w:val="40"/>
    <w:rsid w:val="006015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015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nt-claude-response-body">
    <w:name w:val="font-claude-response-body"/>
    <w:basedOn w:val="Normal"/>
    <w:rsid w:val="006015DB"/>
    <w:pPr>
      <w:spacing w:before="100" w:beforeAutospacing="1" w:after="100" w:afterAutospacing="1"/>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015DB"/>
    <w:rPr>
      <w:b/>
      <w:bCs/>
    </w:rPr>
  </w:style>
  <w:style w:type="character" w:styleId="nfasis">
    <w:name w:val="Emphasis"/>
    <w:basedOn w:val="Fuentedeprrafopredeter"/>
    <w:uiPriority w:val="20"/>
    <w:qFormat/>
    <w:rsid w:val="006015DB"/>
    <w:rPr>
      <w:i/>
      <w:iCs/>
    </w:rPr>
  </w:style>
  <w:style w:type="paragraph" w:styleId="Encabezado">
    <w:name w:val="header"/>
    <w:basedOn w:val="Normal"/>
    <w:link w:val="EncabezadoCar"/>
    <w:uiPriority w:val="99"/>
    <w:unhideWhenUsed/>
    <w:rsid w:val="00E64E9F"/>
    <w:pPr>
      <w:tabs>
        <w:tab w:val="center" w:pos="4680"/>
        <w:tab w:val="right" w:pos="9360"/>
      </w:tabs>
    </w:pPr>
  </w:style>
  <w:style w:type="character" w:customStyle="1" w:styleId="EncabezadoCar">
    <w:name w:val="Encabezado Car"/>
    <w:basedOn w:val="Fuentedeprrafopredeter"/>
    <w:link w:val="Encabezado"/>
    <w:uiPriority w:val="99"/>
    <w:rsid w:val="00E64E9F"/>
  </w:style>
  <w:style w:type="paragraph" w:styleId="Piedepgina">
    <w:name w:val="footer"/>
    <w:basedOn w:val="Normal"/>
    <w:link w:val="PiedepginaCar"/>
    <w:uiPriority w:val="99"/>
    <w:unhideWhenUsed/>
    <w:rsid w:val="00E64E9F"/>
    <w:pPr>
      <w:tabs>
        <w:tab w:val="center" w:pos="4680"/>
        <w:tab w:val="right" w:pos="9360"/>
      </w:tabs>
    </w:pPr>
  </w:style>
  <w:style w:type="character" w:customStyle="1" w:styleId="PiedepginaCar">
    <w:name w:val="Pie de página Car"/>
    <w:basedOn w:val="Fuentedeprrafopredeter"/>
    <w:link w:val="Piedepgina"/>
    <w:uiPriority w:val="99"/>
    <w:rsid w:val="00E6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81138">
      <w:bodyDiv w:val="1"/>
      <w:marLeft w:val="0"/>
      <w:marRight w:val="0"/>
      <w:marTop w:val="0"/>
      <w:marBottom w:val="0"/>
      <w:divBdr>
        <w:top w:val="none" w:sz="0" w:space="0" w:color="auto"/>
        <w:left w:val="none" w:sz="0" w:space="0" w:color="auto"/>
        <w:bottom w:val="none" w:sz="0" w:space="0" w:color="auto"/>
        <w:right w:val="none" w:sz="0" w:space="0" w:color="auto"/>
      </w:divBdr>
      <w:divsChild>
        <w:div w:id="404036424">
          <w:blockQuote w:val="1"/>
          <w:marLeft w:val="720"/>
          <w:marRight w:val="720"/>
          <w:marTop w:val="100"/>
          <w:marBottom w:val="100"/>
          <w:divBdr>
            <w:top w:val="none" w:sz="0" w:space="0" w:color="auto"/>
            <w:left w:val="none" w:sz="0" w:space="0" w:color="auto"/>
            <w:bottom w:val="none" w:sz="0" w:space="0" w:color="auto"/>
            <w:right w:val="none" w:sz="0" w:space="0" w:color="auto"/>
          </w:divBdr>
        </w:div>
        <w:div w:id="525026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2255</Words>
  <Characters>12858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Autor</cp:lastModifiedBy>
  <cp:revision>2</cp:revision>
  <dcterms:created xsi:type="dcterms:W3CDTF">2026-03-14T17:19:00Z</dcterms:created>
  <dcterms:modified xsi:type="dcterms:W3CDTF">2026-03-14T17:46:00Z</dcterms:modified>
</cp:coreProperties>
</file>